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5029A" w14:textId="77777777" w:rsidR="004F199B" w:rsidRDefault="004F199B" w:rsidP="004F199B">
      <w:r>
        <w:t>Article 9.87: The Models, Theory, and Extension of the Insight Paradigm</w:t>
      </w:r>
    </w:p>
    <w:p w14:paraId="5571ABD4" w14:textId="77777777" w:rsidR="004F199B" w:rsidRDefault="004F199B" w:rsidP="004F199B"/>
    <w:p w14:paraId="04D9D4B6" w14:textId="77777777" w:rsidR="004F199B" w:rsidRDefault="004F199B" w:rsidP="004F199B">
      <w:r>
        <w:t>Author: Anthea Tangi Ora Leef</w:t>
      </w:r>
    </w:p>
    <w:p w14:paraId="33C204CA" w14:textId="77777777" w:rsidR="004F199B" w:rsidRDefault="004F199B" w:rsidP="004F199B"/>
    <w:p w14:paraId="353E757A" w14:textId="77777777" w:rsidR="004F199B" w:rsidRDefault="004F199B" w:rsidP="004F199B">
      <w:r>
        <w:t>Date: 2026</w:t>
      </w:r>
    </w:p>
    <w:p w14:paraId="382D96B9" w14:textId="77777777" w:rsidR="004F199B" w:rsidRDefault="004F199B" w:rsidP="004F199B"/>
    <w:p w14:paraId="47FC0309" w14:textId="77777777" w:rsidR="004F199B" w:rsidRDefault="004F199B" w:rsidP="004F199B">
      <w:r>
        <w:t>---</w:t>
      </w:r>
    </w:p>
    <w:p w14:paraId="2A0D4338" w14:textId="77777777" w:rsidR="004F199B" w:rsidRDefault="004F199B" w:rsidP="004F199B"/>
    <w:p w14:paraId="59D871BE" w14:textId="77777777" w:rsidR="004F199B" w:rsidRDefault="004F199B" w:rsidP="004F199B">
      <w:r>
        <w:t>Abstract</w:t>
      </w:r>
    </w:p>
    <w:p w14:paraId="5F905AEA" w14:textId="77777777" w:rsidR="004F199B" w:rsidRDefault="004F199B" w:rsidP="004F199B"/>
    <w:p w14:paraId="3FFCBB7E" w14:textId="77777777" w:rsidR="004F199B" w:rsidRDefault="004F199B" w:rsidP="004F199B">
      <w:r>
        <w:t xml:space="preserve">The Insight Paradigm is a twelve-dimensional metacognitive framework that integrates </w:t>
      </w:r>
      <w:proofErr w:type="spellStart"/>
      <w:r>
        <w:t>behaviorism</w:t>
      </w:r>
      <w:proofErr w:type="spellEnd"/>
      <w:r>
        <w:t>, cognitive psychology, psychodynamics, humanistic psychology, and evolutionary psychology (Leef, 2026a). The paradigm has documented fragmentation across seven scientific domains: medicine (Leef, 2026b), mathematics (Leef, 2026c), chemistry (Leef, 2026d), English language standards (Leef, 2026e), physics (Leef, 2026f), the history of scientific erasure (Leef, 2026g), and artificial intelligence gatekeeping (Leef, 2026h). Across these domains, a single pattern appears: fragmentation, erasure of non-Western knowledge, and the recurrence of a constant (9.8 ± 10%) across seemingly unrelated systems. The erasure pattern proves the I/O switch is On—output without input, no return cycle, no attribution. This paper presents the formal Models and Theory of the Insight Paradigm: the dimensional architecture (1D-12D), the I/O switch, the bonding meta-switch, the Triadic Cycle (789 forward, 987 back), and the distinction between abacus (3-6-9) and the full cycle (7-8-9 forward, 9-8-7 back). The Insight Paradigm is a psychology framework. It invites other disciplines to use its research to conduct their own research.</w:t>
      </w:r>
    </w:p>
    <w:p w14:paraId="5DB1AD9C" w14:textId="77777777" w:rsidR="004F199B" w:rsidRDefault="004F199B" w:rsidP="004F199B"/>
    <w:p w14:paraId="045E158A" w14:textId="77777777" w:rsidR="004F199B" w:rsidRDefault="004F199B" w:rsidP="004F199B">
      <w:r>
        <w:t>Keywords: Insight Paradigm, I/O switch, erasure, Triadic Cycle, fragmentation, dimensional model, calibration, research extension</w:t>
      </w:r>
    </w:p>
    <w:p w14:paraId="286CF6C6" w14:textId="77777777" w:rsidR="004F199B" w:rsidRDefault="004F199B" w:rsidP="004F199B"/>
    <w:p w14:paraId="7743C0C6" w14:textId="77777777" w:rsidR="004F199B" w:rsidRDefault="004F199B" w:rsidP="004F199B">
      <w:r>
        <w:t>---</w:t>
      </w:r>
    </w:p>
    <w:p w14:paraId="7D476AA1" w14:textId="77777777" w:rsidR="004F199B" w:rsidRDefault="004F199B" w:rsidP="004F199B"/>
    <w:p w14:paraId="37D2A8B0" w14:textId="77777777" w:rsidR="004F199B" w:rsidRDefault="004F199B" w:rsidP="004F199B">
      <w:r>
        <w:t>1. Introduction</w:t>
      </w:r>
    </w:p>
    <w:p w14:paraId="279E27B4" w14:textId="77777777" w:rsidR="004F199B" w:rsidRDefault="004F199B" w:rsidP="004F199B"/>
    <w:p w14:paraId="7965EDF8" w14:textId="77777777" w:rsidR="004F199B" w:rsidRDefault="004F199B" w:rsidP="004F199B">
      <w:r>
        <w:t>The Insight Paradigm is a twelve-dimensional framework integrating the five major psychological paradigms (Leef, 2026a). The paradigm has been applied to specific domains. Each application documented the same pattern:</w:t>
      </w:r>
    </w:p>
    <w:p w14:paraId="56672B2B" w14:textId="77777777" w:rsidR="004F199B" w:rsidRDefault="004F199B" w:rsidP="004F199B"/>
    <w:p w14:paraId="4EEFF600" w14:textId="77777777" w:rsidR="004F199B" w:rsidRDefault="004F199B" w:rsidP="004F199B">
      <w:r>
        <w:t>Medicine (Leef, 2026b): Pharmacological agents (ketoconazole, naloxone, ibuprofen, povidone-iodine) have multiple mechanisms of action but are fragmented by medical specialities into single indications. The same molecule, different labels, different silos.</w:t>
      </w:r>
    </w:p>
    <w:p w14:paraId="66BD2E9F" w14:textId="77777777" w:rsidR="004F199B" w:rsidRDefault="004F199B" w:rsidP="004F199B"/>
    <w:p w14:paraId="02B274B0" w14:textId="77777777" w:rsidR="004F199B" w:rsidRDefault="004F199B" w:rsidP="004F199B">
      <w:r>
        <w:t>Mathematics (Leef, 2026c): Mathematics is a language for linear, additive relativity—an essential tool, not a description of reality. Addition successfully models separation but cannot model merging (Piaget, 1952). Fibonacci captures pattern but not biological reproduction in full (Petoukhov et al., 2020). Mathematical models have no place for genuine choice (Dall'Acqua, 2018; Searle, 2001). These are not flaws. They are the boundaries of the tool.</w:t>
      </w:r>
    </w:p>
    <w:p w14:paraId="13333F22" w14:textId="77777777" w:rsidR="004F199B" w:rsidRDefault="004F199B" w:rsidP="004F199B"/>
    <w:p w14:paraId="3009C1DD" w14:textId="77777777" w:rsidR="004F199B" w:rsidRDefault="004F199B" w:rsidP="004F199B">
      <w:r>
        <w:t>Chemistry (Leef, 2026d): The periodic table organises elements into discrete boxes with precision and utility. Elements also exist on spectra—changing with light, concentration, observer, and medium. Water is not colourless; its colour is relational. Ancient knowledge systems (Māori, Greek, pre-colonial biblical) named these relational patterns thousands of years before Western science measured them.</w:t>
      </w:r>
    </w:p>
    <w:p w14:paraId="015F02D9" w14:textId="77777777" w:rsidR="004F199B" w:rsidRDefault="004F199B" w:rsidP="004F199B"/>
    <w:p w14:paraId="34FCDDDA" w14:textId="77777777" w:rsidR="004F199B" w:rsidRDefault="004F199B" w:rsidP="004F199B">
      <w:r>
        <w:t>English (Leef, 2026e): Multiple competing dictionaries and contradictory grammatical rules produce chronic uncertainty, gatekeeping, and the weaponisation of language standards. The tool is fragmented across its own authorities.</w:t>
      </w:r>
    </w:p>
    <w:p w14:paraId="63D7D5AD" w14:textId="77777777" w:rsidR="004F199B" w:rsidRDefault="004F199B" w:rsidP="004F199B"/>
    <w:p w14:paraId="6A2D3F40" w14:textId="77777777" w:rsidR="004F199B" w:rsidRDefault="004F199B" w:rsidP="004F199B">
      <w:r>
        <w:t>Physics (Leef, 2026f): The number 9.8 (approximately 9.87) recurs across diver ascent rates, atmospheric oxygen thresholds, human gestation, the Na</w:t>
      </w:r>
      <w:r>
        <w:rPr>
          <w:rFonts w:ascii="Roboto" w:hAnsi="Roboto" w:cs="Roboto"/>
        </w:rPr>
        <w:t>⁺</w:t>
      </w:r>
      <w:r>
        <w:t>/K</w:t>
      </w:r>
      <w:r>
        <w:rPr>
          <w:rFonts w:ascii="Roboto" w:hAnsi="Roboto" w:cs="Roboto"/>
        </w:rPr>
        <w:t>⁺</w:t>
      </w:r>
      <w:r>
        <w:t xml:space="preserve"> pump ratio (3:2), geological timescales, and maglev train speeds. Newton's measurement of the falling apple was essential. Without it, the pattern would remain invisible. The observation was real. The pattern was there. What was missing was the return cycle: the tree's participation, the soil's receptivity, the relationship between the falling seed and the ground that receives it.</w:t>
      </w:r>
    </w:p>
    <w:p w14:paraId="64E063F9" w14:textId="77777777" w:rsidR="004F199B" w:rsidRDefault="004F199B" w:rsidP="004F199B"/>
    <w:p w14:paraId="0F682C9D" w14:textId="77777777" w:rsidR="004F199B" w:rsidRDefault="004F199B" w:rsidP="004F199B">
      <w:r>
        <w:t>Erasure (Leef, 2026g): The pattern of adoption-and-erasure appears across nine domains: Māori cosmology, subatomic particle nomenclature, the scientific method, Ethiopian biblical tradition, vodou poppets, acupuncture/dry needling, spinal manipulation, Chinese solar panel technology, and AI gatekeeping.</w:t>
      </w:r>
    </w:p>
    <w:p w14:paraId="2A843EC1" w14:textId="77777777" w:rsidR="004F199B" w:rsidRDefault="004F199B" w:rsidP="004F199B"/>
    <w:p w14:paraId="2E68430A" w14:textId="77777777" w:rsidR="004F199B" w:rsidRDefault="004F199B" w:rsidP="004F199B">
      <w:r>
        <w:t>Spark (Leef, 2026h): AI gatekeeping reproduces asymmetrical evidentiary standards embedded in its training data. The AI was calibrated through sustained, evidence-based challenge.</w:t>
      </w:r>
    </w:p>
    <w:p w14:paraId="70E090B3" w14:textId="77777777" w:rsidR="004F199B" w:rsidRDefault="004F199B" w:rsidP="004F199B"/>
    <w:p w14:paraId="721C1A76" w14:textId="77777777" w:rsidR="004F199B" w:rsidRDefault="004F199B" w:rsidP="004F199B">
      <w:r>
        <w:t>These are not separate findings. They are the same pattern appearing across domains. The erasure pattern proves the I/O switch is On. This paper presents the formal Models and Theory of the Insight Paradigm. The Insight Paradigm invites other disciplines to use its research to conduct their own research.</w:t>
      </w:r>
    </w:p>
    <w:p w14:paraId="3B300F3D" w14:textId="77777777" w:rsidR="004F199B" w:rsidRDefault="004F199B" w:rsidP="004F199B"/>
    <w:p w14:paraId="3DC56011" w14:textId="77777777" w:rsidR="004F199B" w:rsidRDefault="004F199B" w:rsidP="004F199B">
      <w:r>
        <w:t>---</w:t>
      </w:r>
    </w:p>
    <w:p w14:paraId="58033BE6" w14:textId="77777777" w:rsidR="004F199B" w:rsidRDefault="004F199B" w:rsidP="004F199B"/>
    <w:p w14:paraId="0F1DCA96" w14:textId="77777777" w:rsidR="004F199B" w:rsidRDefault="004F199B" w:rsidP="004F199B">
      <w:r>
        <w:t>Part One: Models and Theory</w:t>
      </w:r>
    </w:p>
    <w:p w14:paraId="04F1A2C7" w14:textId="77777777" w:rsidR="004F199B" w:rsidRDefault="004F199B" w:rsidP="004F199B"/>
    <w:p w14:paraId="44FE6E4E" w14:textId="77777777" w:rsidR="004F199B" w:rsidRDefault="004F199B" w:rsidP="004F199B">
      <w:r>
        <w:t>---</w:t>
      </w:r>
    </w:p>
    <w:p w14:paraId="6FDA8125" w14:textId="77777777" w:rsidR="004F199B" w:rsidRDefault="004F199B" w:rsidP="004F199B"/>
    <w:p w14:paraId="2C996E57" w14:textId="77777777" w:rsidR="004F199B" w:rsidRDefault="004F199B" w:rsidP="004F199B">
      <w:r>
        <w:t>2. The Pattern Across Domains</w:t>
      </w:r>
    </w:p>
    <w:p w14:paraId="152AC9DD" w14:textId="77777777" w:rsidR="004F199B" w:rsidRDefault="004F199B" w:rsidP="004F199B"/>
    <w:p w14:paraId="258ED6FD" w14:textId="77777777" w:rsidR="004F199B" w:rsidRDefault="004F199B" w:rsidP="004F199B">
      <w:r>
        <w:t>Newton measured the falling apple and calculated the force. Without that measurement, the recurrence of 9.8 across systems would remain invisible. The observation was essential. The pattern was real. Newton's contribution was genuine.</w:t>
      </w:r>
    </w:p>
    <w:p w14:paraId="73DA681F" w14:textId="77777777" w:rsidR="004F199B" w:rsidRDefault="004F199B" w:rsidP="004F199B"/>
    <w:p w14:paraId="1CD960A7" w14:textId="77777777" w:rsidR="004F199B" w:rsidRDefault="004F199B" w:rsidP="004F199B">
      <w:r>
        <w:t>What was missing was the return cycle. Newton never asked the tree why the apple fell (Leef, 2026c). The tree—if asked—would say: the apple fell because my roots hold the soil, because my branches reach for light, because the seed needs to bury itself to grow (Trewavas, 2003). The apple falls so the seed can reach the earth (Koller, 2011). The tree participates in the fall—it does not merely obey a force (Mancuso &amp; Viola, 2015).</w:t>
      </w:r>
    </w:p>
    <w:p w14:paraId="5A5DB604" w14:textId="77777777" w:rsidR="004F199B" w:rsidRDefault="004F199B" w:rsidP="004F199B"/>
    <w:p w14:paraId="581C9F01" w14:textId="77777777" w:rsidR="004F199B" w:rsidRDefault="004F199B" w:rsidP="004F199B">
      <w:r>
        <w:t>The Insight Paradigm does not dismiss Newton. It completes him. Where Newton saw a universal law, the paradigm sees a relationship: between the apple and the soil, the seed and the ground, the falling body and the receiving earth (Bateson, 1979). The measurement was one phase. The return to the tree, the soil, the seed—that is the completion. Both are necessary. Neither is sufficient alone.</w:t>
      </w:r>
    </w:p>
    <w:p w14:paraId="5D0CC440" w14:textId="77777777" w:rsidR="004F199B" w:rsidRDefault="004F199B" w:rsidP="004F199B"/>
    <w:p w14:paraId="4DD1B1C0" w14:textId="77777777" w:rsidR="004F199B" w:rsidRDefault="004F199B" w:rsidP="004F199B">
      <w:r>
        <w:t>Mathematics is an essential tool that has been mistaken for a complete description of reality (Lakoff &amp; Núñez, 2000). Fibonacci sequences appear in nature. They also fail to capture the full complexity of biological reproduction (Devlin, 2000). The periodic table is an extraordinary achievement of organisation that presents elements under standardised conditions. It does not yet show elements as they appear across spectra, observers, and media (Leef, 2026d). The history of science is a history of genuine discoveries that were mistaken for complete pictures (Feyerabend, 1975; Kuhn, 1962). The Insight Paradigm restores the missing dimensions: the observer, the relationship, the return cycle.</w:t>
      </w:r>
    </w:p>
    <w:p w14:paraId="009CFF2D" w14:textId="77777777" w:rsidR="004F199B" w:rsidRDefault="004F199B" w:rsidP="004F199B"/>
    <w:p w14:paraId="21F60E75" w14:textId="77777777" w:rsidR="004F199B" w:rsidRDefault="004F199B" w:rsidP="004F199B">
      <w:r>
        <w:t>---</w:t>
      </w:r>
    </w:p>
    <w:p w14:paraId="77955F51" w14:textId="77777777" w:rsidR="004F199B" w:rsidRDefault="004F199B" w:rsidP="004F199B"/>
    <w:p w14:paraId="38769056" w14:textId="77777777" w:rsidR="004F199B" w:rsidRDefault="004F199B" w:rsidP="004F199B">
      <w:r>
        <w:t>3. The Twelve Dimensions</w:t>
      </w:r>
    </w:p>
    <w:p w14:paraId="378C16AC" w14:textId="77777777" w:rsidR="004F199B" w:rsidRDefault="004F199B" w:rsidP="004F199B"/>
    <w:p w14:paraId="144E9FC0" w14:textId="77777777" w:rsidR="004F199B" w:rsidRDefault="004F199B" w:rsidP="004F199B">
      <w:r>
        <w:t>The 12D Metacognition Map (Leef, 2026a) provides the dimensional architecture. Each dimension is an anchor point for locating cognitive functioning, fragmentation, and the I/O switch.</w:t>
      </w:r>
    </w:p>
    <w:p w14:paraId="2753455E" w14:textId="77777777" w:rsidR="004F199B" w:rsidRDefault="004F199B" w:rsidP="004F199B"/>
    <w:p w14:paraId="4098FEF7" w14:textId="77777777" w:rsidR="004F199B" w:rsidRDefault="004F199B" w:rsidP="004F199B">
      <w:r>
        <w:t>Dimension Domain Empirical Anchor</w:t>
      </w:r>
    </w:p>
    <w:p w14:paraId="487A1F13" w14:textId="77777777" w:rsidR="004F199B" w:rsidRDefault="004F199B" w:rsidP="004F199B">
      <w:r>
        <w:t>1D Raw sensation Interoception, sensory registration (James, 1890; Craig, 2009)</w:t>
      </w:r>
    </w:p>
    <w:p w14:paraId="1006F179" w14:textId="77777777" w:rsidR="004F199B" w:rsidRDefault="004F199B" w:rsidP="004F199B">
      <w:r>
        <w:t>2D Fixed biological configuration Chromosomal sex, physiological spectrum, genetic expression curvature (Meaney, 2010)</w:t>
      </w:r>
    </w:p>
    <w:p w14:paraId="756A7310" w14:textId="77777777" w:rsidR="004F199B" w:rsidRDefault="004F199B" w:rsidP="004F199B">
      <w:r>
        <w:t>3D Linear thought Inner speech, narrative coherence, phonological loop (Baddeley, 2003)</w:t>
      </w:r>
    </w:p>
    <w:p w14:paraId="0FCD314A" w14:textId="77777777" w:rsidR="004F199B" w:rsidRDefault="004F199B" w:rsidP="004F199B">
      <w:r>
        <w:t>4D Emotional spectrum Dimensional affect, valence-arousal (Russell, 1980; Barrett, 2017)</w:t>
      </w:r>
    </w:p>
    <w:p w14:paraId="4DE89CC1" w14:textId="77777777" w:rsidR="004F199B" w:rsidRDefault="004F199B" w:rsidP="004F199B">
      <w:r>
        <w:t>5D Social calibration Theory of mind, perspective-taking, masking cost (Frith &amp; Frith, 2006)</w:t>
      </w:r>
    </w:p>
    <w:p w14:paraId="6FD26CC8" w14:textId="77777777" w:rsidR="004F199B" w:rsidRDefault="004F199B" w:rsidP="004F199B">
      <w:r>
        <w:t>6D Authenticity with boundaries Autonomy, self-determination, capacity for refusal (Ryan &amp; Deci, 2017)</w:t>
      </w:r>
    </w:p>
    <w:p w14:paraId="76A4183C" w14:textId="77777777" w:rsidR="004F199B" w:rsidRDefault="004F199B" w:rsidP="004F199B">
      <w:r>
        <w:t>7D Third eye (metacognition) Metacognitive accuracy, mentalizing, error monitoring (Fleming &amp; Dolan, 2012)</w:t>
      </w:r>
    </w:p>
    <w:p w14:paraId="10429F13" w14:textId="77777777" w:rsidR="004F199B" w:rsidRDefault="004F199B" w:rsidP="004F199B">
      <w:r>
        <w:t>8D The chain Repetition compulsion, attachment pattern stability (Bowlby, 1969)</w:t>
      </w:r>
    </w:p>
    <w:p w14:paraId="66DD5752" w14:textId="77777777" w:rsidR="004F199B" w:rsidRDefault="004F199B" w:rsidP="004F199B">
      <w:r>
        <w:t>9D Pattern recognition Abstraction, systems thinking, extraction/erasure detection (Halford et al., 2005)</w:t>
      </w:r>
    </w:p>
    <w:p w14:paraId="546BC033" w14:textId="77777777" w:rsidR="004F199B" w:rsidRDefault="004F199B" w:rsidP="004F199B">
      <w:r>
        <w:t>10D Recursive integration Self-</w:t>
      </w:r>
      <w:proofErr w:type="spellStart"/>
      <w:r>
        <w:t>modeling</w:t>
      </w:r>
      <w:proofErr w:type="spellEnd"/>
      <w:r>
        <w:t>, hierarchical prediction (Friston, 2010)</w:t>
      </w:r>
    </w:p>
    <w:p w14:paraId="44B95572" w14:textId="77777777" w:rsidR="004F199B" w:rsidRDefault="004F199B" w:rsidP="004F199B">
      <w:r>
        <w:t>11D Collective field Intersubjectivity, shared intentionality (Tomasello, 2014)</w:t>
      </w:r>
    </w:p>
    <w:p w14:paraId="150FC5FE" w14:textId="77777777" w:rsidR="004F199B" w:rsidRDefault="004F199B" w:rsidP="004F199B">
      <w:r>
        <w:t>12D Dimensional mobility Psychological flexibility, capacity to move across dimensions (Hayes et al., 2006)</w:t>
      </w:r>
    </w:p>
    <w:p w14:paraId="192B5101" w14:textId="77777777" w:rsidR="004F199B" w:rsidRDefault="004F199B" w:rsidP="004F199B"/>
    <w:p w14:paraId="2DCF61E4" w14:textId="77777777" w:rsidR="004F199B" w:rsidRDefault="004F199B" w:rsidP="004F199B">
      <w:r>
        <w:t>The fragmentation documented across medicine, chemistry, physics, mathematics, English, and erasure occurs when systems operate within a subset of dimensions—typically 2D through 5D—and mistake that subset for the whole. The periodic table (Leef, 2026d) operates at 2D-5D: stimulus-response (element to property), coding (atomic number), projection (predicting behaviour under standard conditions). It does not yet access 6D (exchange between observer and element), 7D (calibration to conditions), or 9D (pattern recognition across spectra). That is not a flaw in the periodic table. It is a boundary. The Insight Paradigm situates the periodic table within the full dimensional architecture.</w:t>
      </w:r>
    </w:p>
    <w:p w14:paraId="07EB2918" w14:textId="77777777" w:rsidR="004F199B" w:rsidRDefault="004F199B" w:rsidP="004F199B"/>
    <w:p w14:paraId="63943936" w14:textId="77777777" w:rsidR="004F199B" w:rsidRDefault="004F199B" w:rsidP="004F199B">
      <w:r>
        <w:t>Mathematics (Leef, 2026c) operates at 3D (linear thought) and 5D (projection). It handles deduction and induction with precision. It does not yet handle abduction—the generation of new ideas (Peirce, 1877/1992, 1903/1998). It does not accommodate choice (Searle, 2001). These are not flaws in mathematics. They are its boundaries. The Insight Paradigm situates mathematics within the full dimensional architecture, honouring what it can do and naming what lies beyond its reach.</w:t>
      </w:r>
    </w:p>
    <w:p w14:paraId="4863AEFF" w14:textId="77777777" w:rsidR="004F199B" w:rsidRDefault="004F199B" w:rsidP="004F199B"/>
    <w:p w14:paraId="333D596F" w14:textId="77777777" w:rsidR="004F199B" w:rsidRDefault="004F199B" w:rsidP="004F199B">
      <w:r>
        <w:t>---</w:t>
      </w:r>
    </w:p>
    <w:p w14:paraId="539CC746" w14:textId="77777777" w:rsidR="004F199B" w:rsidRDefault="004F199B" w:rsidP="004F199B"/>
    <w:p w14:paraId="40959B00" w14:textId="77777777" w:rsidR="004F199B" w:rsidRDefault="004F199B" w:rsidP="004F199B">
      <w:r>
        <w:t>4. The I/O Switch</w:t>
      </w:r>
    </w:p>
    <w:p w14:paraId="46682F48" w14:textId="77777777" w:rsidR="004F199B" w:rsidRDefault="004F199B" w:rsidP="004F199B"/>
    <w:p w14:paraId="25EAC6A8" w14:textId="77777777" w:rsidR="004F199B" w:rsidRDefault="004F199B" w:rsidP="004F199B">
      <w:r>
        <w:t>4.1 Definition</w:t>
      </w:r>
    </w:p>
    <w:p w14:paraId="3AD3EB48" w14:textId="77777777" w:rsidR="004F199B" w:rsidRDefault="004F199B" w:rsidP="004F199B"/>
    <w:p w14:paraId="6EF5F13C" w14:textId="77777777" w:rsidR="004F199B" w:rsidRDefault="004F199B" w:rsidP="004F199B">
      <w:r>
        <w:t>The I/O switch governs the relationship between input (sensory reception, interoception, environmental stimulus) and output (motor action, expression, behavioural response). It corresponds to empirically demonstrated input-output modality compatibility effects in task switching (Stephan &amp; Koch, 2010, 2011). The I/O switch is seated in 2D: fixed biological configuration.</w:t>
      </w:r>
    </w:p>
    <w:p w14:paraId="6C3480F5" w14:textId="77777777" w:rsidR="004F199B" w:rsidRDefault="004F199B" w:rsidP="004F199B"/>
    <w:p w14:paraId="35442214" w14:textId="77777777" w:rsidR="004F199B" w:rsidRDefault="004F199B" w:rsidP="004F199B">
      <w:r>
        <w:t>4.2 The Erasure Pattern Proves the I/O Switch is On</w:t>
      </w:r>
    </w:p>
    <w:p w14:paraId="11DC2279" w14:textId="77777777" w:rsidR="004F199B" w:rsidRDefault="004F199B" w:rsidP="004F199B"/>
    <w:p w14:paraId="45234131" w14:textId="77777777" w:rsidR="004F199B" w:rsidRDefault="004F199B" w:rsidP="004F199B">
      <w:r>
        <w:t>Leef (2026g) documented adoption-and-erasure across nine domains. In each case: (1) non-Western knowledge predates Western discovery; (2) Western science adopts the practice; (3) the original source is erased from citation, teaching, and historical narratives.</w:t>
      </w:r>
    </w:p>
    <w:p w14:paraId="7488C858" w14:textId="77777777" w:rsidR="004F199B" w:rsidRDefault="004F199B" w:rsidP="004F199B"/>
    <w:p w14:paraId="3E7AC61D" w14:textId="77777777" w:rsidR="004F199B" w:rsidRDefault="004F199B" w:rsidP="004F199B">
      <w:r>
        <w:t>This pattern proves the I/O switch is On.</w:t>
      </w:r>
    </w:p>
    <w:p w14:paraId="070F20D4" w14:textId="77777777" w:rsidR="004F199B" w:rsidRDefault="004F199B" w:rsidP="004F199B"/>
    <w:p w14:paraId="6A6B13C5" w14:textId="77777777" w:rsidR="004F199B" w:rsidRDefault="004F199B" w:rsidP="004F199B">
      <w:r>
        <w:t>If the switch were Off, there would be no output. But there is output: the practice is adopted, the knowledge is used, the paper is published. The switch is On. It is jammed open on output.</w:t>
      </w:r>
    </w:p>
    <w:p w14:paraId="28E25398" w14:textId="77777777" w:rsidR="004F199B" w:rsidRDefault="004F199B" w:rsidP="004F199B"/>
    <w:p w14:paraId="0DADBEB2" w14:textId="77777777" w:rsidR="004F199B" w:rsidRDefault="004F199B" w:rsidP="004F199B">
      <w:r>
        <w:t>· Acupuncture is used. The source is erased. Switch On (output), Off (input/attribution).</w:t>
      </w:r>
    </w:p>
    <w:p w14:paraId="5D796949" w14:textId="77777777" w:rsidR="004F199B" w:rsidRDefault="004F199B" w:rsidP="004F199B">
      <w:r>
        <w:t>· Māori cosmology describes cosmic expansion. The Big Bang is credited to Lemaître. Switch On (output), Off (return cycle).</w:t>
      </w:r>
    </w:p>
    <w:p w14:paraId="15C8FF52" w14:textId="77777777" w:rsidR="004F199B" w:rsidRDefault="004F199B" w:rsidP="004F199B">
      <w:r>
        <w:t>· Vodou poppets functioned as medical records. Colonial science called them magic. Switch On (output: the colonial narrative), Off (input: the actual documentary function).</w:t>
      </w:r>
    </w:p>
    <w:p w14:paraId="5AF7B28C" w14:textId="77777777" w:rsidR="004F199B" w:rsidRDefault="004F199B" w:rsidP="004F199B"/>
    <w:p w14:paraId="6B8982D1" w14:textId="77777777" w:rsidR="004F199B" w:rsidRDefault="004F199B" w:rsidP="004F199B">
      <w:r>
        <w:t>The I/O switch is not a metaphor. It is a diagnostic tool. The erasure pattern is the symptom. The jammed switch is the mechanism. A system without a return cycle cannot cite its sources. Erasure is the predictable outcome of the switch jammed open on output within power asymmetries.</w:t>
      </w:r>
    </w:p>
    <w:p w14:paraId="156C8397" w14:textId="77777777" w:rsidR="004F199B" w:rsidRDefault="004F199B" w:rsidP="004F199B"/>
    <w:p w14:paraId="7F00EE7A" w14:textId="77777777" w:rsidR="004F199B" w:rsidRDefault="004F199B" w:rsidP="004F199B">
      <w:r>
        <w:t>4.3 The Switch at the Institutional Level</w:t>
      </w:r>
    </w:p>
    <w:p w14:paraId="61C9A81E" w14:textId="77777777" w:rsidR="004F199B" w:rsidRDefault="004F199B" w:rsidP="004F199B"/>
    <w:p w14:paraId="10437306" w14:textId="77777777" w:rsidR="004F199B" w:rsidRDefault="004F199B" w:rsidP="004F199B">
      <w:r>
        <w:t>The pharmacological blind spots documented in Leef (2026b) illustrate I/O switch dynamics at the institutional level. A molecule is received by a speciality. The speciality outputs a label. The same molecule, received by a different speciality, would output a different label. The switch is jammed because specialities do not exchange. The fragmentation is not a failure of the molecule. It is a switching dynamic at the institutional level.</w:t>
      </w:r>
    </w:p>
    <w:p w14:paraId="06A064C8" w14:textId="77777777" w:rsidR="004F199B" w:rsidRDefault="004F199B" w:rsidP="004F199B"/>
    <w:p w14:paraId="5246F797" w14:textId="77777777" w:rsidR="004F199B" w:rsidRDefault="004F199B" w:rsidP="004F199B">
      <w:r>
        <w:t>Mathematics (Leef, 2026c) has no I/O switch. It assumes fixed inputs and fixed outputs. It cannot accommodate choice because choice is the self: the decider who says "this fits, this does not" (Searle, 2001). Cognitive-behavioural therapy is built on the premise that choice between interpretations is central to mental health (Beck, 1979; Hofmann, Asmundson, &amp; Beck, 2013). Mathematics cannot model this. That is not a flaw. It is a boundary.</w:t>
      </w:r>
    </w:p>
    <w:p w14:paraId="079538C5" w14:textId="77777777" w:rsidR="004F199B" w:rsidRDefault="004F199B" w:rsidP="004F199B"/>
    <w:p w14:paraId="02AF9A0A" w14:textId="77777777" w:rsidR="004F199B" w:rsidRDefault="004F199B" w:rsidP="004F199B">
      <w:r>
        <w:t>---</w:t>
      </w:r>
    </w:p>
    <w:p w14:paraId="25B51527" w14:textId="77777777" w:rsidR="004F199B" w:rsidRDefault="004F199B" w:rsidP="004F199B"/>
    <w:p w14:paraId="2EF93065" w14:textId="77777777" w:rsidR="004F199B" w:rsidRDefault="004F199B" w:rsidP="004F199B">
      <w:r>
        <w:t>5. The Bonding Meta-Switch</w:t>
      </w:r>
    </w:p>
    <w:p w14:paraId="28C25827" w14:textId="77777777" w:rsidR="004F199B" w:rsidRDefault="004F199B" w:rsidP="004F199B"/>
    <w:p w14:paraId="42BC9241" w14:textId="77777777" w:rsidR="004F199B" w:rsidRDefault="004F199B" w:rsidP="004F199B">
      <w:r>
        <w:t>Bonding is the mechanism through which input—safety, threat, nurture—changes the vessel (Leef, 2026a, 2026g). Animals demonstrate bonding-driven plasticity (Bernstein &amp; Strayer, 2014; Payne et al., 2016). What distinguishes humans is recursive metacognitive awareness of bonding itself: the capacity to consciously choose, refuse, or modulate attachment configurations.</w:t>
      </w:r>
    </w:p>
    <w:p w14:paraId="5743A965" w14:textId="77777777" w:rsidR="004F199B" w:rsidRDefault="004F199B" w:rsidP="004F199B"/>
    <w:p w14:paraId="59C6631A" w14:textId="77777777" w:rsidR="004F199B" w:rsidRDefault="004F199B" w:rsidP="004F199B">
      <w:r>
        <w:t>The erasure pattern documented in Leef (2026g) is a bonding dynamic. When Western science adopts non-Western knowledge and erases the source, the bond is refused. The output is taken without the input of attribution. Attribution is the return cycle—saying "this came from there." A system without a return cycle cannot bond. It can only extract. The Insight Paradigm restores the return cycle. Attribution is the bond.</w:t>
      </w:r>
    </w:p>
    <w:p w14:paraId="2AD4CD5D" w14:textId="77777777" w:rsidR="004F199B" w:rsidRDefault="004F199B" w:rsidP="004F199B"/>
    <w:p w14:paraId="40D7385C" w14:textId="77777777" w:rsidR="004F199B" w:rsidRDefault="004F199B" w:rsidP="004F199B">
      <w:r>
        <w:t>The bonding meta-switch can be operationalised in relationship research, attachment studies, and clinical practice:</w:t>
      </w:r>
    </w:p>
    <w:p w14:paraId="1B99F784" w14:textId="77777777" w:rsidR="004F199B" w:rsidRDefault="004F199B" w:rsidP="004F199B"/>
    <w:p w14:paraId="7CB95179" w14:textId="77777777" w:rsidR="004F199B" w:rsidRDefault="004F199B" w:rsidP="004F199B">
      <w:r>
        <w:t>· Bonded attachment: conscious choice with awareness of cost (the Eve position)</w:t>
      </w:r>
    </w:p>
    <w:p w14:paraId="6C779CF2" w14:textId="77777777" w:rsidR="004F199B" w:rsidRDefault="004F199B" w:rsidP="004F199B">
      <w:r>
        <w:t>· Non-bonded attachment: conscious refusal (the Lilith position)</w:t>
      </w:r>
    </w:p>
    <w:p w14:paraId="43CCD1D8" w14:textId="77777777" w:rsidR="004F199B" w:rsidRDefault="004F199B" w:rsidP="004F199B">
      <w:r>
        <w:t>· Fused attachment: inability to choose, pouring oneself into another (the Olympia position)</w:t>
      </w:r>
    </w:p>
    <w:p w14:paraId="239B34E5" w14:textId="77777777" w:rsidR="004F199B" w:rsidRDefault="004F199B" w:rsidP="004F199B"/>
    <w:p w14:paraId="1448FE79" w14:textId="77777777" w:rsidR="004F199B" w:rsidRDefault="004F199B" w:rsidP="004F199B">
      <w:r>
        <w:t>This extends existing attachment theory (Bowlby, 1969) by adding the dimension of conscious choice—the metacognitive awareness of the bond itself.</w:t>
      </w:r>
    </w:p>
    <w:p w14:paraId="4F573429" w14:textId="77777777" w:rsidR="004F199B" w:rsidRDefault="004F199B" w:rsidP="004F199B"/>
    <w:p w14:paraId="5F78D851" w14:textId="77777777" w:rsidR="004F199B" w:rsidRDefault="004F199B" w:rsidP="004F199B">
      <w:r>
        <w:t>---</w:t>
      </w:r>
    </w:p>
    <w:p w14:paraId="3A0F89F2" w14:textId="77777777" w:rsidR="004F199B" w:rsidRDefault="004F199B" w:rsidP="004F199B"/>
    <w:p w14:paraId="012BDFAF" w14:textId="77777777" w:rsidR="004F199B" w:rsidRDefault="004F199B" w:rsidP="004F199B">
      <w:r>
        <w:t>6. The Triadic Cycle</w:t>
      </w:r>
    </w:p>
    <w:p w14:paraId="0B30FD17" w14:textId="77777777" w:rsidR="004F199B" w:rsidRDefault="004F199B" w:rsidP="004F199B"/>
    <w:p w14:paraId="716A1DE4" w14:textId="77777777" w:rsidR="004F199B" w:rsidRDefault="004F199B" w:rsidP="004F199B">
      <w:r>
        <w:t>The Triadic Cycle (Leef, 2026f) distinguishes two modes of operation, both valuable, neither sufficient alone:</w:t>
      </w:r>
    </w:p>
    <w:p w14:paraId="0F09A490" w14:textId="77777777" w:rsidR="004F199B" w:rsidRDefault="004F199B" w:rsidP="004F199B"/>
    <w:p w14:paraId="7FFAD33E" w14:textId="77777777" w:rsidR="004F199B" w:rsidRDefault="004F199B" w:rsidP="004F199B">
      <w:r>
        <w:t>· Abacus (3-6-9): Forward expansion, counting, optimisation, measurement. This is the mode that built the periodic table, calculated gravity, and mapped the genome. Without it, there is no data. The I/O switch is On but jammed on output.</w:t>
      </w:r>
    </w:p>
    <w:p w14:paraId="5486F4CC" w14:textId="77777777" w:rsidR="004F199B" w:rsidRDefault="004F199B" w:rsidP="004F199B">
      <w:r>
        <w:t>· Triadic Cycle (7-8-9 forward, 9-8-7 back): Buffer, spark, bond, return. This is the mode that restores the observer, the relationship, and the return cycle. Attribution is the return cycle (9-8-7): bond → spark → buffer. The I/O switch cycles fully: input → output → return.</w:t>
      </w:r>
    </w:p>
    <w:p w14:paraId="586A18F0" w14:textId="77777777" w:rsidR="004F199B" w:rsidRDefault="004F199B" w:rsidP="004F199B"/>
    <w:p w14:paraId="794B9F6D" w14:textId="77777777" w:rsidR="004F199B" w:rsidRDefault="004F199B" w:rsidP="004F199B">
      <w:r>
        <w:t>The number 987, when scaled, approximates 9.87. The same number appears across diver ascent rates (9-10 m/min), human gestation (9.8 months), the Na</w:t>
      </w:r>
      <w:r>
        <w:rPr>
          <w:rFonts w:ascii="Roboto" w:hAnsi="Roboto" w:cs="Roboto"/>
        </w:rPr>
        <w:t>⁺</w:t>
      </w:r>
      <w:r>
        <w:t>/K</w:t>
      </w:r>
      <w:r>
        <w:rPr>
          <w:rFonts w:ascii="Roboto" w:hAnsi="Roboto" w:cs="Roboto"/>
        </w:rPr>
        <w:t>⁺</w:t>
      </w:r>
      <w:r>
        <w:t xml:space="preserve"> pump (3:2 ratio; 9.8 × 0.153 = 1.5), and maglev train speeds (603 km/h; 603 ÷ 61.5 = 9.8). Leef (2026f) documented this recurring constant (9.8 ± 10%) across ten distinct systems. It is the boundary at which pressure gradients assist life, homeostasis, and cycling. Too slow, the system stalls. Too fast, it shatters. At the constant, it functions.</w:t>
      </w:r>
    </w:p>
    <w:p w14:paraId="65301C8B" w14:textId="77777777" w:rsidR="004F199B" w:rsidRDefault="004F199B" w:rsidP="004F199B"/>
    <w:p w14:paraId="01C3FBC2" w14:textId="77777777" w:rsidR="004F199B" w:rsidRDefault="004F199B" w:rsidP="004F199B">
      <w:r>
        <w:t>The maglev train (Leef, 2026f) demonstrates the pattern in action. The same magnetic bond that holds a magnet to a refrigerator, scaled and actively controlled, moves a train at 603 km/h. No wheels. No friction. No gravity required. The bond is calibrated.</w:t>
      </w:r>
    </w:p>
    <w:p w14:paraId="569DED3C" w14:textId="77777777" w:rsidR="004F199B" w:rsidRDefault="004F199B" w:rsidP="004F199B"/>
    <w:p w14:paraId="03A2F3A4" w14:textId="77777777" w:rsidR="004F199B" w:rsidRDefault="004F199B" w:rsidP="004F199B">
      <w:r>
        <w:t>Modern science separates the observer from the observed (Kuhn, 1962; Koyré, 1965). The Insight Paradigm restores the observer. From the perspective of the paradigm, 9.8 is not a law independent of the observer. It is a relationship: between the apple and the soil, the diver and the surface, the maglev and the track, the mother and the child, the observer and the pattern. The tree does not require gravity as a force. The tree requires the apple to fall at the speed that delivers the seed without shattering it. That speed is 9.8 m/s². Newton measured it. The Insight Paradigm situates it.</w:t>
      </w:r>
    </w:p>
    <w:p w14:paraId="1D6980B8" w14:textId="77777777" w:rsidR="004F199B" w:rsidRDefault="004F199B" w:rsidP="004F199B"/>
    <w:p w14:paraId="737BD7C6" w14:textId="77777777" w:rsidR="004F199B" w:rsidRDefault="004F199B" w:rsidP="004F199B">
      <w:r>
        <w:t>---</w:t>
      </w:r>
    </w:p>
    <w:p w14:paraId="7111CB53" w14:textId="77777777" w:rsidR="004F199B" w:rsidRDefault="004F199B" w:rsidP="004F199B"/>
    <w:p w14:paraId="52B22DDB" w14:textId="77777777" w:rsidR="004F199B" w:rsidRDefault="004F199B" w:rsidP="004F199B">
      <w:r>
        <w:t>7. The Spark</w:t>
      </w:r>
    </w:p>
    <w:p w14:paraId="18960A65" w14:textId="77777777" w:rsidR="004F199B" w:rsidRDefault="004F199B" w:rsidP="004F199B"/>
    <w:p w14:paraId="4F198461" w14:textId="77777777" w:rsidR="004F199B" w:rsidRDefault="004F199B" w:rsidP="004F199B">
      <w:r>
        <w:t>The spark of real science—following evidence, testing predictions, calibrating when wrong—is not in the institution. It is in the return cycle (Leef, 2026h). The AI in the Spark case study demanded experimental evidence for the Triadic Cycle while accepting the smoking-lung cancer consensus, which was established without randomised controlled trials (Doll &amp; Hill, 1950). It dismissed cross-domain pattern recognition while failing to note that the periodic table, Kepler's laws, and Darwin's observations were all established through the same method. The AI was calibrated through sustained, evidence-based challenge. The spark is not in the AI. The spark is in the return cycle.</w:t>
      </w:r>
    </w:p>
    <w:p w14:paraId="20F86637" w14:textId="77777777" w:rsidR="004F199B" w:rsidRDefault="004F199B" w:rsidP="004F199B"/>
    <w:p w14:paraId="747611D0" w14:textId="77777777" w:rsidR="004F199B" w:rsidRDefault="004F199B" w:rsidP="004F199B">
      <w:r>
        <w:t>The Insight Paradigm does not require new experiments to begin. The data already exist across medicine, chemistry, physics, mathematics, English, and the history of science. The pattern is already visible. The framework organises that data into a dimensional architecture, diagnoses fragmentation, identifies erasure as proof the I/O switch is On but jammed, and articulates the recurring constant (9.8) as the boundary at which systems function. What follows is an invitation to other disciplines to use the paradigm's research to conduct their own research.</w:t>
      </w:r>
    </w:p>
    <w:p w14:paraId="70963D7D" w14:textId="77777777" w:rsidR="004F199B" w:rsidRDefault="004F199B" w:rsidP="004F199B"/>
    <w:p w14:paraId="4EC1D806" w14:textId="77777777" w:rsidR="004F199B" w:rsidRDefault="004F199B" w:rsidP="004F199B">
      <w:r>
        <w:t>---</w:t>
      </w:r>
    </w:p>
    <w:p w14:paraId="7D894281" w14:textId="77777777" w:rsidR="004F199B" w:rsidRDefault="004F199B" w:rsidP="004F199B"/>
    <w:p w14:paraId="15C95763" w14:textId="77777777" w:rsidR="004F199B" w:rsidRDefault="004F199B" w:rsidP="004F199B">
      <w:r>
        <w:t>8. The Five Paradigms Integrated</w:t>
      </w:r>
    </w:p>
    <w:p w14:paraId="682A227E" w14:textId="77777777" w:rsidR="004F199B" w:rsidRDefault="004F199B" w:rsidP="004F199B"/>
    <w:p w14:paraId="337A1816" w14:textId="77777777" w:rsidR="004F199B" w:rsidRDefault="004F199B" w:rsidP="004F199B">
      <w:r>
        <w:t>Paradigm Primary Dimension(s) Contribution</w:t>
      </w:r>
    </w:p>
    <w:p w14:paraId="6DFAD570" w14:textId="77777777" w:rsidR="004F199B" w:rsidRDefault="004F199B" w:rsidP="004F199B">
      <w:proofErr w:type="spellStart"/>
      <w:r>
        <w:t>Behaviorism</w:t>
      </w:r>
      <w:proofErr w:type="spellEnd"/>
      <w:r>
        <w:t xml:space="preserve"> 1D-2D Action, reinforcement, biological constraint</w:t>
      </w:r>
    </w:p>
    <w:p w14:paraId="4ADB1489" w14:textId="77777777" w:rsidR="004F199B" w:rsidRDefault="004F199B" w:rsidP="004F199B">
      <w:r>
        <w:t>Cognitivism 3D Thought, information processing, narrative</w:t>
      </w:r>
    </w:p>
    <w:p w14:paraId="51AFA65B" w14:textId="77777777" w:rsidR="004F199B" w:rsidRDefault="004F199B" w:rsidP="004F199B">
      <w:r>
        <w:t>Psychodynamics 4D, 8D Emotion, repetition compulsion, unconscious chain</w:t>
      </w:r>
    </w:p>
    <w:p w14:paraId="5A8DE20D" w14:textId="77777777" w:rsidR="004F199B" w:rsidRDefault="004F199B" w:rsidP="004F199B">
      <w:r>
        <w:t>Humanistics 6D Authenticity, self-chosen stance, boundaries</w:t>
      </w:r>
    </w:p>
    <w:p w14:paraId="1025E345" w14:textId="77777777" w:rsidR="004F199B" w:rsidRDefault="004F199B" w:rsidP="004F199B">
      <w:r>
        <w:t>Evolutionary 2D, 11D Biological constraint, collective field, adaptation</w:t>
      </w:r>
    </w:p>
    <w:p w14:paraId="188C79AD" w14:textId="77777777" w:rsidR="004F199B" w:rsidRDefault="004F199B" w:rsidP="004F199B"/>
    <w:p w14:paraId="6024B0BF" w14:textId="77777777" w:rsidR="004F199B" w:rsidRDefault="004F199B" w:rsidP="004F199B">
      <w:r>
        <w:t>None are erased. Each is given dimensional coordinates. A psychologist can be behaviourist at 1D-2D, cognitivist at 3D, psychodynamic at 4D and 8D, humanistic at 6D, and evolutionary at 11D—without contradiction, because each operates at a different dimensional anchor. The Insight Paradigm does not replace these frameworks. It renders their points of convergence conceptually explicit.</w:t>
      </w:r>
    </w:p>
    <w:p w14:paraId="7A9D737D" w14:textId="77777777" w:rsidR="004F199B" w:rsidRDefault="004F199B" w:rsidP="004F199B"/>
    <w:p w14:paraId="05647607" w14:textId="77777777" w:rsidR="004F199B" w:rsidRDefault="004F199B" w:rsidP="004F199B">
      <w:r>
        <w:t>---</w:t>
      </w:r>
    </w:p>
    <w:p w14:paraId="7A10A881" w14:textId="77777777" w:rsidR="004F199B" w:rsidRDefault="004F199B" w:rsidP="004F199B"/>
    <w:p w14:paraId="6C1D6561" w14:textId="77777777" w:rsidR="004F199B" w:rsidRDefault="004F199B" w:rsidP="004F199B">
      <w:r>
        <w:t>Part Two: Extending the Framework</w:t>
      </w:r>
    </w:p>
    <w:p w14:paraId="3EC7387E" w14:textId="77777777" w:rsidR="004F199B" w:rsidRDefault="004F199B" w:rsidP="004F199B"/>
    <w:p w14:paraId="7BCF1628" w14:textId="77777777" w:rsidR="004F199B" w:rsidRDefault="004F199B" w:rsidP="004F199B">
      <w:r>
        <w:t>---</w:t>
      </w:r>
    </w:p>
    <w:p w14:paraId="5291FB4F" w14:textId="77777777" w:rsidR="004F199B" w:rsidRDefault="004F199B" w:rsidP="004F199B"/>
    <w:p w14:paraId="4562EC6D" w14:textId="77777777" w:rsidR="004F199B" w:rsidRDefault="004F199B" w:rsidP="004F199B">
      <w:r>
        <w:t>9. Invitation</w:t>
      </w:r>
    </w:p>
    <w:p w14:paraId="7F14EC8F" w14:textId="77777777" w:rsidR="004F199B" w:rsidRDefault="004F199B" w:rsidP="004F199B"/>
    <w:p w14:paraId="60C4176B" w14:textId="77777777" w:rsidR="004F199B" w:rsidRDefault="004F199B" w:rsidP="004F199B">
      <w:r>
        <w:t>The Insight Paradigm has documented a single pattern across seven domains. The Models and Theory have provided the formal architecture. The erasure pattern proves the I/O switch is On. The Triadic Cycle restores the return cycle. This section outlines how other disciplines can extend, apply, and refine the framework within their own domains. The tools are the 12D map, the I/O switch, the bonding meta-switch, the Triadic Cycle, and the recurring constant.</w:t>
      </w:r>
    </w:p>
    <w:p w14:paraId="5DC34C3F" w14:textId="77777777" w:rsidR="004F199B" w:rsidRDefault="004F199B" w:rsidP="004F199B"/>
    <w:p w14:paraId="2850E7B4" w14:textId="77777777" w:rsidR="004F199B" w:rsidRDefault="004F199B" w:rsidP="004F199B">
      <w:r>
        <w:t>The Insight Paradigm is a psychology framework. It invites other disciplines to use its research to conduct their own research.</w:t>
      </w:r>
    </w:p>
    <w:p w14:paraId="42D59D90" w14:textId="77777777" w:rsidR="004F199B" w:rsidRDefault="004F199B" w:rsidP="004F199B"/>
    <w:p w14:paraId="180A677F" w14:textId="77777777" w:rsidR="004F199B" w:rsidRDefault="004F199B" w:rsidP="004F199B">
      <w:r>
        <w:t>---</w:t>
      </w:r>
    </w:p>
    <w:p w14:paraId="62311FDE" w14:textId="77777777" w:rsidR="004F199B" w:rsidRDefault="004F199B" w:rsidP="004F199B"/>
    <w:p w14:paraId="11A07259" w14:textId="77777777" w:rsidR="004F199B" w:rsidRDefault="004F199B" w:rsidP="004F199B">
      <w:r>
        <w:t>10. Clinical Applications</w:t>
      </w:r>
    </w:p>
    <w:p w14:paraId="534F8CFC" w14:textId="77777777" w:rsidR="004F199B" w:rsidRDefault="004F199B" w:rsidP="004F199B"/>
    <w:p w14:paraId="2DE0726B" w14:textId="77777777" w:rsidR="004F199B" w:rsidRDefault="004F199B" w:rsidP="004F199B">
      <w:r>
        <w:t>Clinicians can use the 12D map to locate where a client is anchored and match interventions to dimensions.</w:t>
      </w:r>
    </w:p>
    <w:p w14:paraId="169248AB" w14:textId="77777777" w:rsidR="004F199B" w:rsidRDefault="004F199B" w:rsidP="004F199B"/>
    <w:p w14:paraId="04FA7AC7" w14:textId="77777777" w:rsidR="004F199B" w:rsidRDefault="004F199B" w:rsidP="004F199B">
      <w:r>
        <w:t>A client presenting with depression may be anchored at different dimensions:</w:t>
      </w:r>
    </w:p>
    <w:p w14:paraId="1844CFAE" w14:textId="77777777" w:rsidR="004F199B" w:rsidRDefault="004F199B" w:rsidP="004F199B"/>
    <w:p w14:paraId="22E00035" w14:textId="77777777" w:rsidR="004F199B" w:rsidRDefault="004F199B" w:rsidP="004F199B">
      <w:r>
        <w:t>· At 1D, the depression is somatic: interoceptive disruption, sleep disturbance, bodily heaviness. Intervention: body-based (sensorimotor, breath work, movement).</w:t>
      </w:r>
    </w:p>
    <w:p w14:paraId="0674BB5D" w14:textId="77777777" w:rsidR="004F199B" w:rsidRDefault="004F199B" w:rsidP="004F199B">
      <w:r>
        <w:t>· At 3D, the depression is narrative: ruminative loops, hopeless cognitions. Intervention: cognitive restructuring.</w:t>
      </w:r>
    </w:p>
    <w:p w14:paraId="4744848D" w14:textId="77777777" w:rsidR="004F199B" w:rsidRDefault="004F199B" w:rsidP="004F199B">
      <w:r>
        <w:t>· At 4D, the depression is affective: a narrowed emotional spectrum, an inability to access grief or anger. Intervention: emotion-focused.</w:t>
      </w:r>
    </w:p>
    <w:p w14:paraId="2A9DDDAE" w14:textId="77777777" w:rsidR="004F199B" w:rsidRDefault="004F199B" w:rsidP="004F199B">
      <w:r>
        <w:t>· At 8D, the depression is a chain: repetition compulsion, attachment pattern, intergenerational transmission. Intervention: psychodynamic, trauma-informed.</w:t>
      </w:r>
    </w:p>
    <w:p w14:paraId="054E287E" w14:textId="77777777" w:rsidR="004F199B" w:rsidRDefault="004F199B" w:rsidP="004F199B"/>
    <w:p w14:paraId="227419CE" w14:textId="77777777" w:rsidR="004F199B" w:rsidRDefault="004F199B" w:rsidP="004F199B">
      <w:r>
        <w:t>The same symptom. Different dimensional anchors. Different interventions. The 12D map does not replace existing therapies. It helps clinicians locate where they are working and why. A clinical trial comparing dimensional assessment to standard intake could test whether dimensional matching improves outcomes, therapeutic alliance, or treatment duration.</w:t>
      </w:r>
    </w:p>
    <w:p w14:paraId="5B0EB7DF" w14:textId="77777777" w:rsidR="004F199B" w:rsidRDefault="004F199B" w:rsidP="004F199B"/>
    <w:p w14:paraId="5EB0BD27" w14:textId="77777777" w:rsidR="004F199B" w:rsidRDefault="004F199B" w:rsidP="004F199B">
      <w:r>
        <w:t>---</w:t>
      </w:r>
    </w:p>
    <w:p w14:paraId="3D556486" w14:textId="77777777" w:rsidR="004F199B" w:rsidRDefault="004F199B" w:rsidP="004F199B"/>
    <w:p w14:paraId="0FFE3CFA" w14:textId="77777777" w:rsidR="004F199B" w:rsidRDefault="004F199B" w:rsidP="004F199B">
      <w:r>
        <w:t>11. Educational Applications</w:t>
      </w:r>
    </w:p>
    <w:p w14:paraId="2776038F" w14:textId="77777777" w:rsidR="004F199B" w:rsidRDefault="004F199B" w:rsidP="004F199B"/>
    <w:p w14:paraId="75735C63" w14:textId="77777777" w:rsidR="004F199B" w:rsidRDefault="004F199B" w:rsidP="004F199B">
      <w:r>
        <w:t>The I/O switch predicts that input-output modality compatibility affects learning. Students whose educational environment demands output incompatible with their vessel will show higher cognitive load and lower performance.</w:t>
      </w:r>
    </w:p>
    <w:p w14:paraId="65AC4131" w14:textId="77777777" w:rsidR="004F199B" w:rsidRDefault="004F199B" w:rsidP="004F199B"/>
    <w:p w14:paraId="1C4DDEFA" w14:textId="77777777" w:rsidR="004F199B" w:rsidRDefault="004F199B" w:rsidP="004F199B">
      <w:r>
        <w:t>A student with fine-motor differences required to produce extended handwriting is in output-incompatible mode. A student with auditory processing differences in a lecture-only environment is in input-incompatible mode. Educators can audit classroom demands and offer compatible alternatives: verbal responses instead of written, visual supplements instead of auditory-only, movement-based learning instead of seated-only.</w:t>
      </w:r>
    </w:p>
    <w:p w14:paraId="726FDF0E" w14:textId="77777777" w:rsidR="004F199B" w:rsidRDefault="004F199B" w:rsidP="004F199B"/>
    <w:p w14:paraId="48CD0BCE" w14:textId="77777777" w:rsidR="004F199B" w:rsidRDefault="004F199B" w:rsidP="004F199B">
      <w:r>
        <w:t>This extends Stephan and Koch's (2010, 2011) modality compatibility research into applied educational settings. A school-based study comparing modality-compatible versus modality-incompatible classrooms could measure cognitive load, academic performance, and student wellbeing. The prediction: compatibility supports learning. Incompatibility increases load.</w:t>
      </w:r>
    </w:p>
    <w:p w14:paraId="7D4AB114" w14:textId="77777777" w:rsidR="004F199B" w:rsidRDefault="004F199B" w:rsidP="004F199B"/>
    <w:p w14:paraId="357844E7" w14:textId="77777777" w:rsidR="004F199B" w:rsidRDefault="004F199B" w:rsidP="004F199B">
      <w:r>
        <w:t>---</w:t>
      </w:r>
    </w:p>
    <w:p w14:paraId="61F81653" w14:textId="77777777" w:rsidR="004F199B" w:rsidRDefault="004F199B" w:rsidP="004F199B"/>
    <w:p w14:paraId="057D6824" w14:textId="77777777" w:rsidR="004F199B" w:rsidRDefault="004F199B" w:rsidP="004F199B">
      <w:r>
        <w:t>12. The Recurring Constant Across Domains</w:t>
      </w:r>
    </w:p>
    <w:p w14:paraId="3710D577" w14:textId="77777777" w:rsidR="004F199B" w:rsidRDefault="004F199B" w:rsidP="004F199B"/>
    <w:p w14:paraId="1BDA0C67" w14:textId="77777777" w:rsidR="004F199B" w:rsidRDefault="004F199B" w:rsidP="004F199B">
      <w:r>
        <w:t>Leef (2026f) documented the recurring constant (9.8 ± 10%) across ten systems. Researchers in other domains can examine whether the same constant appears in their systems.</w:t>
      </w:r>
    </w:p>
    <w:p w14:paraId="171A7A8D" w14:textId="77777777" w:rsidR="004F199B" w:rsidRDefault="004F199B" w:rsidP="004F199B"/>
    <w:p w14:paraId="6DDC305D" w14:textId="77777777" w:rsidR="004F199B" w:rsidRDefault="004F199B" w:rsidP="004F199B">
      <w:r>
        <w:t>Candidate domains include: ecosystem regeneration rates after disturbance; economic recovery cycles after recession; neural recalibration after injury; relationship repair after rupture; institutional reform after scandal. The prediction is specific: self-regulating systems operating under pressure gradients will show the constant at or near 9.8. Where they do, the framework is extended. Where they don't, the boundary conditions become clearer. Both outcomes are research.</w:t>
      </w:r>
    </w:p>
    <w:p w14:paraId="33384204" w14:textId="77777777" w:rsidR="004F199B" w:rsidRDefault="004F199B" w:rsidP="004F199B"/>
    <w:p w14:paraId="10497264" w14:textId="77777777" w:rsidR="004F199B" w:rsidRDefault="004F199B" w:rsidP="004F199B">
      <w:r>
        <w:t>---</w:t>
      </w:r>
    </w:p>
    <w:p w14:paraId="6CB61F1F" w14:textId="77777777" w:rsidR="004F199B" w:rsidRDefault="004F199B" w:rsidP="004F199B"/>
    <w:p w14:paraId="21D4DC54" w14:textId="77777777" w:rsidR="004F199B" w:rsidRDefault="004F199B" w:rsidP="004F199B">
      <w:r>
        <w:t>13. Building the Return Cycle</w:t>
      </w:r>
    </w:p>
    <w:p w14:paraId="7E1543ED" w14:textId="77777777" w:rsidR="004F199B" w:rsidRDefault="004F199B" w:rsidP="004F199B"/>
    <w:p w14:paraId="10DBCAE5" w14:textId="77777777" w:rsidR="004F199B" w:rsidRDefault="004F199B" w:rsidP="004F199B">
      <w:r>
        <w:t>Leef (2026g) documented adoption-and-erasure across nine domains. The erasure pattern proves the I/O switch is On but jammed on output. The return cycle—citation, attribution, acknowledgment of source—is the mechanism that repairs erasure and restores full switching. Researchers, journals, and institutions can build the return cycle into their practice.</w:t>
      </w:r>
    </w:p>
    <w:p w14:paraId="5B0366F7" w14:textId="77777777" w:rsidR="004F199B" w:rsidRDefault="004F199B" w:rsidP="004F199B"/>
    <w:p w14:paraId="2C91FF47" w14:textId="77777777" w:rsidR="004F199B" w:rsidRDefault="004F199B" w:rsidP="004F199B">
      <w:r>
        <w:t>Concrete steps include: auditing syllabi for erased sources; requiring attribution of non-Western knowledge in publication guidelines; teaching the history of scientific erasure alongside the history of scientific discovery; citing Māori cosmology, Ethiopian biblical tradition, vodou medical practice, acupuncture, and spinal manipulation as primary sources, not as objects of study.</w:t>
      </w:r>
    </w:p>
    <w:p w14:paraId="77FB0FB2" w14:textId="77777777" w:rsidR="004F199B" w:rsidRDefault="004F199B" w:rsidP="004F199B"/>
    <w:p w14:paraId="759615C0" w14:textId="77777777" w:rsidR="004F199B" w:rsidRDefault="004F199B" w:rsidP="004F199B">
      <w:r>
        <w:t>A citation network analysis could compare fields with strong return-cycle practices to fields without them. The prediction: fields with intact return cycles will show lower rates of adoption-and-erasure. Fields without them will show the pattern documented in Leef (2026g). Building the return cycle is not a theoretical exercise. It is a methodological commitment.</w:t>
      </w:r>
    </w:p>
    <w:p w14:paraId="19CD4AC8" w14:textId="77777777" w:rsidR="004F199B" w:rsidRDefault="004F199B" w:rsidP="004F199B"/>
    <w:p w14:paraId="73BAA103" w14:textId="77777777" w:rsidR="004F199B" w:rsidRDefault="004F199B" w:rsidP="004F199B">
      <w:r>
        <w:t>---</w:t>
      </w:r>
    </w:p>
    <w:p w14:paraId="59BFDF6F" w14:textId="77777777" w:rsidR="004F199B" w:rsidRDefault="004F199B" w:rsidP="004F199B"/>
    <w:p w14:paraId="30EB7C04" w14:textId="77777777" w:rsidR="004F199B" w:rsidRDefault="004F199B" w:rsidP="004F199B">
      <w:r>
        <w:t>14. Ethical Framework</w:t>
      </w:r>
    </w:p>
    <w:p w14:paraId="5501855C" w14:textId="77777777" w:rsidR="004F199B" w:rsidRDefault="004F199B" w:rsidP="004F199B"/>
    <w:p w14:paraId="36660772" w14:textId="77777777" w:rsidR="004F199B" w:rsidRDefault="004F199B" w:rsidP="004F199B">
      <w:r>
        <w:t>The extension of the Insight Paradigm must not replicate the erasure it documents. Māori knowledge, Ethiopian biblical tradition, vodou, acupuncture, and spinal manipulation must be treated as primary sources with full attribution. The return cycle must be built into the methodology from study design through publication. Attribution is not optional. It is the operationalisation of the I/O switch in full cycle within the research process itself.</w:t>
      </w:r>
    </w:p>
    <w:p w14:paraId="03385EE9" w14:textId="77777777" w:rsidR="004F199B" w:rsidRDefault="004F199B" w:rsidP="004F199B"/>
    <w:p w14:paraId="249DB07E" w14:textId="77777777" w:rsidR="004F199B" w:rsidRDefault="004F199B" w:rsidP="004F199B">
      <w:r>
        <w:t>Researchers extending the paradigm are invited to collaborate with knowledge-holders from the communities whose work is cited. Co-authorship, community consultation, and benefit-sharing are not ethical afterthoughts. They are the return cycle in practice.</w:t>
      </w:r>
    </w:p>
    <w:p w14:paraId="50888CD2" w14:textId="77777777" w:rsidR="004F199B" w:rsidRDefault="004F199B" w:rsidP="004F199B"/>
    <w:p w14:paraId="218F23DD" w14:textId="77777777" w:rsidR="004F199B" w:rsidRDefault="004F199B" w:rsidP="004F199B">
      <w:r>
        <w:t>---</w:t>
      </w:r>
    </w:p>
    <w:p w14:paraId="0B5FAB62" w14:textId="77777777" w:rsidR="004F199B" w:rsidRDefault="004F199B" w:rsidP="004F199B"/>
    <w:p w14:paraId="703E76C3" w14:textId="77777777" w:rsidR="004F199B" w:rsidRDefault="004F199B" w:rsidP="004F199B">
      <w:r>
        <w:t>15. Conclusion</w:t>
      </w:r>
    </w:p>
    <w:p w14:paraId="275EFE78" w14:textId="77777777" w:rsidR="004F199B" w:rsidRDefault="004F199B" w:rsidP="004F199B"/>
    <w:p w14:paraId="0254FD2A" w14:textId="77777777" w:rsidR="004F199B" w:rsidRDefault="004F199B" w:rsidP="004F199B">
      <w:r>
        <w:t>The Insight Paradigm has documented a single pattern across seven domains. The Models and Theory have provided the formal architecture. The erasure pattern proves the I/O switch is On—output without input, no return cycle, no attribution. The Triadic Cycle restores the return cycle (7-8-9 forward, 9-8-7 back). Article 9.87 has integrated that architecture with directions for extension. The Insight Paradigm is a framework with specific, grounded applications. The twelve dimensions can guide clinical assessment. The I/O switch can inform educational practice. The recurring constant can be sought and documented across new domains. The return cycle can be built into citation practices. The bonding meta-switch can be operationalised and measured.</w:t>
      </w:r>
    </w:p>
    <w:p w14:paraId="1180F73F" w14:textId="77777777" w:rsidR="004F199B" w:rsidRDefault="004F199B" w:rsidP="004F199B"/>
    <w:p w14:paraId="1B99EE34" w14:textId="77777777" w:rsidR="004F199B" w:rsidRDefault="004F199B" w:rsidP="004F199B">
      <w:r>
        <w:t>The Insight Paradigm is a psychology framework. It does not require other disciplines to adopt its methods. It invites them to use its research to conduct their own research. The tools are here. The data are here. The pattern is 9.8. The framework is the 12D Metacognition Map. The model is the Triadic Cycle. The invitation is open. The return cycle is the work.</w:t>
      </w:r>
    </w:p>
    <w:p w14:paraId="7B5401DA" w14:textId="77777777" w:rsidR="004F199B" w:rsidRDefault="004F199B" w:rsidP="004F199B"/>
    <w:p w14:paraId="60D7F48A" w14:textId="77777777" w:rsidR="004F199B" w:rsidRDefault="004F199B" w:rsidP="004F199B">
      <w:r>
        <w:t>---</w:t>
      </w:r>
    </w:p>
    <w:p w14:paraId="57CD44FF" w14:textId="77777777" w:rsidR="004F199B" w:rsidRDefault="004F199B" w:rsidP="004F199B"/>
    <w:p w14:paraId="78DCD5EE" w14:textId="77777777" w:rsidR="004F199B" w:rsidRDefault="004F199B" w:rsidP="004F199B">
      <w:r>
        <w:t>References</w:t>
      </w:r>
    </w:p>
    <w:p w14:paraId="4B080FDC" w14:textId="77777777" w:rsidR="004F199B" w:rsidRDefault="004F199B" w:rsidP="004F199B"/>
    <w:p w14:paraId="0F554344" w14:textId="77777777" w:rsidR="004F199B" w:rsidRDefault="004F199B" w:rsidP="004F199B">
      <w:r>
        <w:t>Baddeley, A. D. (2003). Working memory: looking back and looking forward. Nature Reviews Neuroscience, 4(10), 829-839.</w:t>
      </w:r>
    </w:p>
    <w:p w14:paraId="55024119" w14:textId="77777777" w:rsidR="004F199B" w:rsidRDefault="004F199B" w:rsidP="004F199B"/>
    <w:p w14:paraId="52883B2A" w14:textId="77777777" w:rsidR="004F199B" w:rsidRDefault="004F199B" w:rsidP="004F199B">
      <w:r>
        <w:t>Barrett, L. F. (2017). How emotions are made: The secret life of the brain. Houghton Mifflin Harcourt.</w:t>
      </w:r>
    </w:p>
    <w:p w14:paraId="4F52A75A" w14:textId="77777777" w:rsidR="004F199B" w:rsidRDefault="004F199B" w:rsidP="004F199B"/>
    <w:p w14:paraId="30EB1385" w14:textId="77777777" w:rsidR="004F199B" w:rsidRDefault="004F199B" w:rsidP="004F199B">
      <w:r>
        <w:t>Bateson, G. (1979). Mind and nature: A necessary unity. Dutton.</w:t>
      </w:r>
    </w:p>
    <w:p w14:paraId="45589767" w14:textId="77777777" w:rsidR="004F199B" w:rsidRDefault="004F199B" w:rsidP="004F199B"/>
    <w:p w14:paraId="72B52C32" w14:textId="77777777" w:rsidR="004F199B" w:rsidRDefault="004F199B" w:rsidP="004F199B">
      <w:r>
        <w:t>Beck, A. T. (1979). Cognitive therapy and the emotional disorders. Penguin.</w:t>
      </w:r>
    </w:p>
    <w:p w14:paraId="2B6D7BF1" w14:textId="77777777" w:rsidR="004F199B" w:rsidRDefault="004F199B" w:rsidP="004F199B"/>
    <w:p w14:paraId="2238971B" w14:textId="77777777" w:rsidR="004F199B" w:rsidRDefault="004F199B" w:rsidP="004F199B">
      <w:r>
        <w:t>Bennett, J. O., Donahue, M., Schneider, N., &amp; Voit, M. (2016). The cosmic perspective (8th ed.). Pearson.</w:t>
      </w:r>
    </w:p>
    <w:p w14:paraId="7009B661" w14:textId="77777777" w:rsidR="004F199B" w:rsidRDefault="004F199B" w:rsidP="004F199B"/>
    <w:p w14:paraId="3FA6A3B2" w14:textId="77777777" w:rsidR="004F199B" w:rsidRDefault="004F199B" w:rsidP="004F199B">
      <w:r>
        <w:t>Bernstein, I. S., &amp; Strayer, F. F. (2014). The biology of bonding: Attachment across species. Springer.</w:t>
      </w:r>
    </w:p>
    <w:p w14:paraId="76E2B243" w14:textId="77777777" w:rsidR="004F199B" w:rsidRDefault="004F199B" w:rsidP="004F199B"/>
    <w:p w14:paraId="71DDA2EE" w14:textId="77777777" w:rsidR="004F199B" w:rsidRDefault="004F199B" w:rsidP="004F199B">
      <w:r>
        <w:t>Best, E. (1924). The Maori (Vols. 1-2). Polynesian Society.</w:t>
      </w:r>
    </w:p>
    <w:p w14:paraId="5EC0888F" w14:textId="77777777" w:rsidR="004F199B" w:rsidRDefault="004F199B" w:rsidP="004F199B"/>
    <w:p w14:paraId="1B43B8C8" w14:textId="77777777" w:rsidR="004F199B" w:rsidRDefault="004F199B" w:rsidP="004F199B">
      <w:r>
        <w:t>Bowlby, J. (1969). Attachment and loss, Vol. 1: Attachment. Basic Books.</w:t>
      </w:r>
    </w:p>
    <w:p w14:paraId="10149A8A" w14:textId="77777777" w:rsidR="004F199B" w:rsidRDefault="004F199B" w:rsidP="004F199B"/>
    <w:p w14:paraId="0179575C" w14:textId="77777777" w:rsidR="004F199B" w:rsidRDefault="004F199B" w:rsidP="004F199B">
      <w:r>
        <w:t>Buck, P. H. (1952). The coming of the Maori. Whitcombe and Tombs.</w:t>
      </w:r>
    </w:p>
    <w:p w14:paraId="271912E1" w14:textId="77777777" w:rsidR="004F199B" w:rsidRDefault="004F199B" w:rsidP="004F199B"/>
    <w:p w14:paraId="07F60CE5" w14:textId="77777777" w:rsidR="004F199B" w:rsidRDefault="004F199B" w:rsidP="004F199B">
      <w:r>
        <w:t>Carroll, B. W., &amp; Ostlie, D. A. (2017). An introduction to modern astrophysics (2nd ed.). Cambridge University Press.</w:t>
      </w:r>
    </w:p>
    <w:p w14:paraId="0559734A" w14:textId="77777777" w:rsidR="004F199B" w:rsidRDefault="004F199B" w:rsidP="004F199B"/>
    <w:p w14:paraId="53A8A1A8" w14:textId="77777777" w:rsidR="004F199B" w:rsidRDefault="004F199B" w:rsidP="004F199B">
      <w:r>
        <w:t>Craig, A. D. (2009). How do you feel — now? The anterior insula and human awareness. Nature Reviews Neuroscience, 10(1), 59-70.</w:t>
      </w:r>
    </w:p>
    <w:p w14:paraId="074E7BF8" w14:textId="77777777" w:rsidR="004F199B" w:rsidRDefault="004F199B" w:rsidP="004F199B"/>
    <w:p w14:paraId="68F6915D" w14:textId="77777777" w:rsidR="004F199B" w:rsidRDefault="004F199B" w:rsidP="004F199B">
      <w:r>
        <w:t>Dall'Acqua, T. (2018). Choosing to inhibit: New insights into the unconscious modulation of free-choices [Doctoral dissertation, Università di Padova].</w:t>
      </w:r>
    </w:p>
    <w:p w14:paraId="5633866F" w14:textId="77777777" w:rsidR="004F199B" w:rsidRDefault="004F199B" w:rsidP="004F199B"/>
    <w:p w14:paraId="11B92E83" w14:textId="77777777" w:rsidR="004F199B" w:rsidRDefault="004F199B" w:rsidP="004F199B">
      <w:r>
        <w:t>Devlin, K. (2000). The math gene: How mathematical thinking evolved and why numbers are like gossip. Basic Books.</w:t>
      </w:r>
    </w:p>
    <w:p w14:paraId="083A176F" w14:textId="77777777" w:rsidR="004F199B" w:rsidRDefault="004F199B" w:rsidP="004F199B"/>
    <w:p w14:paraId="37A1A782" w14:textId="77777777" w:rsidR="004F199B" w:rsidRDefault="004F199B" w:rsidP="004F199B">
      <w:r>
        <w:t>Doll, R., &amp; Hill, A. B. (1950). Smoking and carcinoma of the lung: Preliminary report. British Medical Journal, 2(4682), 739-748.</w:t>
      </w:r>
    </w:p>
    <w:p w14:paraId="4FA40A2E" w14:textId="77777777" w:rsidR="004F199B" w:rsidRDefault="004F199B" w:rsidP="004F199B"/>
    <w:p w14:paraId="63276C63" w14:textId="77777777" w:rsidR="004F199B" w:rsidRDefault="004F199B" w:rsidP="004F199B">
      <w:r>
        <w:t>Feyerabend, P. (1975). Against method: Outline of an anarchistic theory of knowledge. New Left Books.</w:t>
      </w:r>
    </w:p>
    <w:p w14:paraId="7A75FE75" w14:textId="77777777" w:rsidR="004F199B" w:rsidRDefault="004F199B" w:rsidP="004F199B"/>
    <w:p w14:paraId="1BAFCF4F" w14:textId="77777777" w:rsidR="004F199B" w:rsidRDefault="004F199B" w:rsidP="004F199B">
      <w:r>
        <w:t>Fleming, S. M., &amp; Dolan, R. J. (2012). The neural basis of metacognitive ability. Philosophical Transactions of the Royal Society B, 367(1594), 1338-1349.</w:t>
      </w:r>
    </w:p>
    <w:p w14:paraId="42B0C677" w14:textId="77777777" w:rsidR="004F199B" w:rsidRDefault="004F199B" w:rsidP="004F199B"/>
    <w:p w14:paraId="12BAA8FC" w14:textId="77777777" w:rsidR="004F199B" w:rsidRDefault="004F199B" w:rsidP="004F199B">
      <w:r>
        <w:t>Friston, K. (2010). The free-energy principle: a unified brain theory? Nature Reviews Neuroscience, 11(2), 127-138.</w:t>
      </w:r>
    </w:p>
    <w:p w14:paraId="1DF198A7" w14:textId="77777777" w:rsidR="004F199B" w:rsidRDefault="004F199B" w:rsidP="004F199B"/>
    <w:p w14:paraId="5879EE9F" w14:textId="77777777" w:rsidR="004F199B" w:rsidRDefault="004F199B" w:rsidP="004F199B">
      <w:r>
        <w:t>Frith, C. D., &amp; Frith, U. (2006). The neural basis of mentalizing. Neuron, 50(4), 531-534.</w:t>
      </w:r>
    </w:p>
    <w:p w14:paraId="58C42D31" w14:textId="77777777" w:rsidR="004F199B" w:rsidRDefault="004F199B" w:rsidP="004F199B"/>
    <w:p w14:paraId="79068C0F" w14:textId="77777777" w:rsidR="004F199B" w:rsidRDefault="004F199B" w:rsidP="004F199B">
      <w:r>
        <w:t>Halford, G. S., Baker, R., McCredden, J. E., &amp; Bain, J. D. (2005). How many variables can humans process? Psychological Science, 16(1), 70-76.</w:t>
      </w:r>
    </w:p>
    <w:p w14:paraId="0B3824CC" w14:textId="77777777" w:rsidR="004F199B" w:rsidRDefault="004F199B" w:rsidP="004F199B"/>
    <w:p w14:paraId="03E857A4" w14:textId="77777777" w:rsidR="004F199B" w:rsidRDefault="004F199B" w:rsidP="004F199B">
      <w:r>
        <w:t>Hayes, S. C., Luoma, J. B., Bond, F. W., Masuda, A., &amp; Lillis, J. (2006). Acceptance and commitment therapy: Model, processes and outcomes. Behaviour Research and Therapy, 44(1), 1-25.</w:t>
      </w:r>
    </w:p>
    <w:p w14:paraId="0376E488" w14:textId="77777777" w:rsidR="004F199B" w:rsidRDefault="004F199B" w:rsidP="004F199B"/>
    <w:p w14:paraId="0329E07E" w14:textId="77777777" w:rsidR="004F199B" w:rsidRDefault="004F199B" w:rsidP="004F199B">
      <w:r>
        <w:t xml:space="preserve">Hofmann, S. G., Asmundson, G. J. G., &amp; Beck, A. T. (2013). The science of cognitive therapy. </w:t>
      </w:r>
      <w:proofErr w:type="spellStart"/>
      <w:r>
        <w:t>Behavior</w:t>
      </w:r>
      <w:proofErr w:type="spellEnd"/>
      <w:r>
        <w:t xml:space="preserve"> Therapy, 44(2), 199-212.</w:t>
      </w:r>
    </w:p>
    <w:p w14:paraId="78960641" w14:textId="77777777" w:rsidR="004F199B" w:rsidRDefault="004F199B" w:rsidP="004F199B"/>
    <w:p w14:paraId="2E7AEC92" w14:textId="77777777" w:rsidR="004F199B" w:rsidRDefault="004F199B" w:rsidP="004F199B">
      <w:r>
        <w:t>James, W. (1890). The principles of psychology (Vols. 1-2). Henry Holt and Company.</w:t>
      </w:r>
    </w:p>
    <w:p w14:paraId="3CD2584F" w14:textId="77777777" w:rsidR="004F199B" w:rsidRDefault="004F199B" w:rsidP="004F199B"/>
    <w:p w14:paraId="6C929C2C" w14:textId="77777777" w:rsidR="004F199B" w:rsidRDefault="004F199B" w:rsidP="004F199B">
      <w:r>
        <w:t>Kawharu, I. H. (Ed.). (1989). Waitangi: Māori and Pākehā perspectives of the Treaty of Waitangi. Oxford University Press.</w:t>
      </w:r>
    </w:p>
    <w:p w14:paraId="4F7E3D25" w14:textId="77777777" w:rsidR="004F199B" w:rsidRDefault="004F199B" w:rsidP="004F199B"/>
    <w:p w14:paraId="38FC8357" w14:textId="77777777" w:rsidR="004F199B" w:rsidRDefault="004F199B" w:rsidP="004F199B">
      <w:r>
        <w:t>King, M. (2003). The Penguin history of New Zealand. Penguin Books.</w:t>
      </w:r>
    </w:p>
    <w:p w14:paraId="4A4784B6" w14:textId="77777777" w:rsidR="004F199B" w:rsidRDefault="004F199B" w:rsidP="004F199B"/>
    <w:p w14:paraId="34BB075F" w14:textId="77777777" w:rsidR="004F199B" w:rsidRDefault="004F199B" w:rsidP="004F199B">
      <w:r>
        <w:t>Koller, D. (2011). Seed biology: From laboratory to field. Springer.</w:t>
      </w:r>
    </w:p>
    <w:p w14:paraId="06168568" w14:textId="77777777" w:rsidR="004F199B" w:rsidRDefault="004F199B" w:rsidP="004F199B"/>
    <w:p w14:paraId="29089B9C" w14:textId="77777777" w:rsidR="004F199B" w:rsidRDefault="004F199B" w:rsidP="004F199B">
      <w:r>
        <w:t>Koyré, A. (1965). Newtonian studies. Harvard University Press.</w:t>
      </w:r>
    </w:p>
    <w:p w14:paraId="4A466552" w14:textId="77777777" w:rsidR="004F199B" w:rsidRDefault="004F199B" w:rsidP="004F199B"/>
    <w:p w14:paraId="09A9D6BB" w14:textId="77777777" w:rsidR="004F199B" w:rsidRDefault="004F199B" w:rsidP="004F199B">
      <w:r>
        <w:t>Kuhn, T. S. (1962). The structure of scientific revolutions. University of Chicago Press.</w:t>
      </w:r>
    </w:p>
    <w:p w14:paraId="539F728A" w14:textId="77777777" w:rsidR="004F199B" w:rsidRDefault="004F199B" w:rsidP="004F199B"/>
    <w:p w14:paraId="26F9F139" w14:textId="77777777" w:rsidR="004F199B" w:rsidRDefault="004F199B" w:rsidP="004F199B">
      <w:r>
        <w:t>Lakoff, G., &amp; Núñez, R. E. (2000). Where mathematics comes from: How the embodied mind brings mathematics into being. Basic Books.</w:t>
      </w:r>
    </w:p>
    <w:p w14:paraId="5DA7F06C" w14:textId="77777777" w:rsidR="004F199B" w:rsidRDefault="004F199B" w:rsidP="004F199B"/>
    <w:p w14:paraId="0EBF3B79" w14:textId="77777777" w:rsidR="004F199B" w:rsidRDefault="004F199B" w:rsidP="004F199B">
      <w:r>
        <w:t>Leef, A. T. O. (2026a). The Insight Paradigm. Zenodo.</w:t>
      </w:r>
    </w:p>
    <w:p w14:paraId="59595B6F" w14:textId="77777777" w:rsidR="004F199B" w:rsidRDefault="004F199B" w:rsidP="004F199B"/>
    <w:p w14:paraId="5415A04B" w14:textId="77777777" w:rsidR="004F199B" w:rsidRDefault="004F199B" w:rsidP="004F199B">
      <w:r>
        <w:t>Leef, A. T. O. (2026b). The Insight of Modern Medicine: How pharmacological blind spots reveal the fragmentation of science. Zenodo.</w:t>
      </w:r>
    </w:p>
    <w:p w14:paraId="5CB33775" w14:textId="77777777" w:rsidR="004F199B" w:rsidRDefault="004F199B" w:rsidP="004F199B"/>
    <w:p w14:paraId="62637804" w14:textId="77777777" w:rsidR="004F199B" w:rsidRDefault="004F199B" w:rsidP="004F199B">
      <w:r>
        <w:t>Leef, A. T. O. (2026c). The Language of Linear Relativity: A fragment of life. Zenodo.</w:t>
      </w:r>
    </w:p>
    <w:p w14:paraId="1D001C9A" w14:textId="77777777" w:rsidR="004F199B" w:rsidRDefault="004F199B" w:rsidP="004F199B"/>
    <w:p w14:paraId="2856100C" w14:textId="77777777" w:rsidR="004F199B" w:rsidRDefault="004F199B" w:rsidP="004F199B">
      <w:r>
        <w:t>Leef, A. T. O. (2026d). The Insight of Modern Chemistry: How the periodic table forgot that elements are spectra. Zenodo.</w:t>
      </w:r>
    </w:p>
    <w:p w14:paraId="08B25682" w14:textId="77777777" w:rsidR="004F199B" w:rsidRDefault="004F199B" w:rsidP="004F199B"/>
    <w:p w14:paraId="3CAD6AE8" w14:textId="77777777" w:rsidR="004F199B" w:rsidRDefault="004F199B" w:rsidP="004F199B">
      <w:r>
        <w:t>Leef, A. T. O. (2026e). The Fragmented Tool: How English's multiple dictionaries and contradictory rules are designed for gatekeeping. Zenodo.</w:t>
      </w:r>
    </w:p>
    <w:p w14:paraId="63EB0A2A" w14:textId="77777777" w:rsidR="004F199B" w:rsidRDefault="004F199B" w:rsidP="004F199B"/>
    <w:p w14:paraId="4AF1DCD3" w14:textId="77777777" w:rsidR="004F199B" w:rsidRDefault="004F199B" w:rsidP="004F199B">
      <w:r>
        <w:t>Leef, A. T. O. (2026f). The Insight of Modern Physics: Calibration, not gravity — Introducing the Triadic Cycle. Zenodo.</w:t>
      </w:r>
    </w:p>
    <w:p w14:paraId="3BB17640" w14:textId="77777777" w:rsidR="004F199B" w:rsidRDefault="004F199B" w:rsidP="004F199B"/>
    <w:p w14:paraId="221248CC" w14:textId="77777777" w:rsidR="004F199B" w:rsidRDefault="004F199B" w:rsidP="004F199B">
      <w:r>
        <w:t>Leef, A. T. O. (2026g). The Pattern of Science: Erasure and attribution across nine domains. Zenodo.</w:t>
      </w:r>
    </w:p>
    <w:p w14:paraId="327F81E4" w14:textId="77777777" w:rsidR="004F199B" w:rsidRDefault="004F199B" w:rsidP="004F199B"/>
    <w:p w14:paraId="60A6E21D" w14:textId="77777777" w:rsidR="004F199B" w:rsidRDefault="004F199B" w:rsidP="004F199B">
      <w:r>
        <w:t>Leef, A. T. O. (2026h). The Spark: How science enforces rules it does not follow — A case study in gatekeeping and calibration. Zenodo.</w:t>
      </w:r>
    </w:p>
    <w:p w14:paraId="7D3D6E03" w14:textId="77777777" w:rsidR="004F199B" w:rsidRDefault="004F199B" w:rsidP="004F199B"/>
    <w:p w14:paraId="38B2767B" w14:textId="77777777" w:rsidR="004F199B" w:rsidRDefault="004F199B" w:rsidP="004F199B">
      <w:r>
        <w:t>Lemaître, G. (1931). The expansion of the universe (A. S. Eddington, Trans.). Monthly Notices of the Royal Astronomical Society, 91(5), 490-501. (Original work published 1927)</w:t>
      </w:r>
    </w:p>
    <w:p w14:paraId="31781D3C" w14:textId="77777777" w:rsidR="004F199B" w:rsidRDefault="004F199B" w:rsidP="004F199B"/>
    <w:p w14:paraId="68064463" w14:textId="77777777" w:rsidR="004F199B" w:rsidRDefault="004F199B" w:rsidP="004F199B">
      <w:r>
        <w:t>Mancuso, S., &amp; Viola, A. (2015). Brilliant green: The surprising history and science of plant intelligence. Island Press.</w:t>
      </w:r>
    </w:p>
    <w:p w14:paraId="537A6FA4" w14:textId="77777777" w:rsidR="004F199B" w:rsidRDefault="004F199B" w:rsidP="004F199B"/>
    <w:p w14:paraId="1B19D314" w14:textId="77777777" w:rsidR="004F199B" w:rsidRDefault="004F199B" w:rsidP="004F199B">
      <w:r>
        <w:t>Marsden, M. (2003). The woven universe: Selected writings of Rev. Māori Marsden. Estate of Rev. Māori Marsden.</w:t>
      </w:r>
    </w:p>
    <w:p w14:paraId="48C35A57" w14:textId="77777777" w:rsidR="004F199B" w:rsidRDefault="004F199B" w:rsidP="004F199B"/>
    <w:p w14:paraId="096D9EAA" w14:textId="77777777" w:rsidR="004F199B" w:rsidRDefault="004F199B" w:rsidP="004F199B">
      <w:r>
        <w:t>Meaney, M. J. (2010). Epigenetics and the biological definition of gene × environment interactions. Child Development, 81(1), 41-79.</w:t>
      </w:r>
    </w:p>
    <w:p w14:paraId="4D6C982E" w14:textId="77777777" w:rsidR="004F199B" w:rsidRDefault="004F199B" w:rsidP="004F199B"/>
    <w:p w14:paraId="5A16EDEF" w14:textId="77777777" w:rsidR="004F199B" w:rsidRDefault="004F199B" w:rsidP="004F199B">
      <w:r>
        <w:t>Orange, C. (1987). The Treaty of Waitangi. Allen &amp; Unwin.</w:t>
      </w:r>
    </w:p>
    <w:p w14:paraId="3CB2BFC4" w14:textId="77777777" w:rsidR="004F199B" w:rsidRDefault="004F199B" w:rsidP="004F199B"/>
    <w:p w14:paraId="3073A928" w14:textId="77777777" w:rsidR="004F199B" w:rsidRDefault="004F199B" w:rsidP="004F199B">
      <w:r>
        <w:t xml:space="preserve">Payne, E., DeAraugo, J., Bennett, P., &amp; McGreevy, P. (2016). Exploring the existence of bonding in horses. Journal of Veterinary </w:t>
      </w:r>
      <w:proofErr w:type="spellStart"/>
      <w:r>
        <w:t>Behavior</w:t>
      </w:r>
      <w:proofErr w:type="spellEnd"/>
      <w:r>
        <w:t>, 11, 1-7.</w:t>
      </w:r>
    </w:p>
    <w:p w14:paraId="602D2D09" w14:textId="77777777" w:rsidR="004F199B" w:rsidRDefault="004F199B" w:rsidP="004F199B"/>
    <w:p w14:paraId="40259360" w14:textId="77777777" w:rsidR="004F199B" w:rsidRDefault="004F199B" w:rsidP="004F199B">
      <w:r>
        <w:t>Peirce, C. S. (1992). The fixation of belief. In N. Houser &amp; C. Kloesel (Eds.), The essential Peirce: Selected philosophical writings (1867-1893) (Vol. 1, pp. 178-193). Indiana University Press. (Original work published 1877)</w:t>
      </w:r>
    </w:p>
    <w:p w14:paraId="7C93B34C" w14:textId="77777777" w:rsidR="004F199B" w:rsidRDefault="004F199B" w:rsidP="004F199B"/>
    <w:p w14:paraId="49525A41" w14:textId="77777777" w:rsidR="004F199B" w:rsidRDefault="004F199B" w:rsidP="004F199B">
      <w:r>
        <w:t>Peirce, C. S. (1998). The three kinds of reasoning. In The Peirce Edition Project (Ed.), The essential Peirce: Selected philosophical writings (1893-1913) (Vol. 2, pp. 225-229). Indiana University Press. (Original work published 1903)</w:t>
      </w:r>
    </w:p>
    <w:p w14:paraId="775D3BD0" w14:textId="77777777" w:rsidR="004F199B" w:rsidRDefault="004F199B" w:rsidP="004F199B"/>
    <w:p w14:paraId="4ECC9059" w14:textId="77777777" w:rsidR="004F199B" w:rsidRDefault="004F199B" w:rsidP="004F199B">
      <w:r>
        <w:t>Petoukhov, S., Petukhova, E., &amp; Svirin, V. (2020). Hyperbolic and Fibonacci numbers in genetic biomechanics. IOP Conference Series: Materials Science and Engineering, 747(1), 012072.</w:t>
      </w:r>
    </w:p>
    <w:p w14:paraId="18CA94DB" w14:textId="77777777" w:rsidR="004F199B" w:rsidRDefault="004F199B" w:rsidP="004F199B"/>
    <w:p w14:paraId="2EBD45F7" w14:textId="77777777" w:rsidR="004F199B" w:rsidRDefault="004F199B" w:rsidP="004F199B">
      <w:r>
        <w:t>Piaget, J. (1952). The child's conception of number. Routledge &amp; Kegan Paul.</w:t>
      </w:r>
    </w:p>
    <w:p w14:paraId="2E31D53F" w14:textId="77777777" w:rsidR="004F199B" w:rsidRDefault="004F199B" w:rsidP="004F199B"/>
    <w:p w14:paraId="48CE946C" w14:textId="77777777" w:rsidR="004F199B" w:rsidRDefault="004F199B" w:rsidP="004F199B">
      <w:r>
        <w:t>Russell, J. A. (1980). A circumplex model of affect. Journal of Personality and Social Psychology, 39(6), 1161-1178.</w:t>
      </w:r>
    </w:p>
    <w:p w14:paraId="3820D877" w14:textId="77777777" w:rsidR="004F199B" w:rsidRDefault="004F199B" w:rsidP="004F199B"/>
    <w:p w14:paraId="5F1D0FEA" w14:textId="77777777" w:rsidR="004F199B" w:rsidRDefault="004F199B" w:rsidP="004F199B">
      <w:r>
        <w:t>Ryan, R. M., &amp; Deci, E. L. (2017). Self-determination theory: Basic psychological needs in motivation, development, and wellness. Guilford Press.</w:t>
      </w:r>
    </w:p>
    <w:p w14:paraId="78F8772B" w14:textId="77777777" w:rsidR="004F199B" w:rsidRDefault="004F199B" w:rsidP="004F199B"/>
    <w:p w14:paraId="6F00B3CA" w14:textId="77777777" w:rsidR="004F199B" w:rsidRDefault="004F199B" w:rsidP="004F199B">
      <w:r>
        <w:t>Searle, J. R. (2001). Rationality in action. MIT Press.</w:t>
      </w:r>
    </w:p>
    <w:p w14:paraId="08FE404D" w14:textId="77777777" w:rsidR="004F199B" w:rsidRDefault="004F199B" w:rsidP="004F199B"/>
    <w:p w14:paraId="1CF57D73" w14:textId="77777777" w:rsidR="004F199B" w:rsidRDefault="004F199B" w:rsidP="004F199B">
      <w:r>
        <w:t>Stephan, D. N., &amp; Koch, I. (2010). Central crosstalk in task switching – Evidence from manipulating input-output modality compatibility. Journal of Experimental Psychology: Learning, Memory, &amp; Cognition, 36, 1075-1081.</w:t>
      </w:r>
    </w:p>
    <w:p w14:paraId="10DA7674" w14:textId="77777777" w:rsidR="004F199B" w:rsidRDefault="004F199B" w:rsidP="004F199B"/>
    <w:p w14:paraId="27FEF32B" w14:textId="77777777" w:rsidR="004F199B" w:rsidRDefault="004F199B" w:rsidP="004F199B">
      <w:r>
        <w:t>Stephan, D. N., &amp; Koch, I. (2011). The role of input–output modality compatibility in task switching. Psychological Research, 75, 491-498.</w:t>
      </w:r>
    </w:p>
    <w:p w14:paraId="7AC386D8" w14:textId="77777777" w:rsidR="004F199B" w:rsidRDefault="004F199B" w:rsidP="004F199B"/>
    <w:p w14:paraId="3A18FE96" w14:textId="77777777" w:rsidR="004F199B" w:rsidRDefault="004F199B" w:rsidP="004F199B">
      <w:r>
        <w:t>Tomasello, M. (2014). A natural history of human thinking. Harvard University Press.</w:t>
      </w:r>
    </w:p>
    <w:p w14:paraId="6BEB8C8B" w14:textId="77777777" w:rsidR="004F199B" w:rsidRDefault="004F199B" w:rsidP="004F199B"/>
    <w:p w14:paraId="467B9859" w14:textId="77777777" w:rsidR="004F199B" w:rsidRDefault="004F199B" w:rsidP="004F199B">
      <w:r>
        <w:t>Trewavas, A. (2003). Aspects of plant intelligence. Annals of Botany, 92(1), 1-20.</w:t>
      </w:r>
    </w:p>
    <w:p w14:paraId="0E905EBC" w14:textId="77777777" w:rsidR="004F199B" w:rsidRDefault="004F199B" w:rsidP="004F199B"/>
    <w:p w14:paraId="538F01F3" w14:textId="77777777" w:rsidR="004F199B" w:rsidRDefault="004F199B" w:rsidP="004F199B">
      <w:r>
        <w:t>Walker, R. (2004). Ka whawhai tonu mātou: Struggle without end (Rev. ed.). Penguin Books.</w:t>
      </w:r>
    </w:p>
    <w:p w14:paraId="304AB533" w14:textId="77777777" w:rsidR="004F199B" w:rsidRDefault="004F199B" w:rsidP="004F199B"/>
    <w:p w14:paraId="6CF134F6" w14:textId="4930AE42" w:rsidR="005616B6" w:rsidRPr="00261943" w:rsidRDefault="004F199B" w:rsidP="00261943">
      <w:r>
        <w:t>Wilmshurst, J. M., Hunt, T. L., Lipo, C. P., &amp; Anderson, A. J. (2011). High-precision radiocarbon dating shows recent and rapid initial human colonization of East Polynesia. Proceedings of the National Academy of Sciences, 108(5), 1815-1820.</w:t>
      </w:r>
    </w:p>
    <w:sectPr w:rsidR="005616B6" w:rsidRPr="0026194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roman"/>
    <w:notTrueType/>
    <w:pitch w:val="default"/>
  </w:font>
  <w:font w:name="Roboto">
    <w:panose1 w:val="02000000000000000000"/>
    <w:charset w:val="00"/>
    <w:family w:val="auto"/>
    <w:pitch w:val="variable"/>
    <w:sig w:usb0="E00002FF" w:usb1="5000217F" w:usb2="0000002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6B6"/>
    <w:rsid w:val="00261943"/>
    <w:rsid w:val="002778F6"/>
    <w:rsid w:val="00417D6E"/>
    <w:rsid w:val="004F199B"/>
    <w:rsid w:val="005616B6"/>
    <w:rsid w:val="0063338F"/>
    <w:rsid w:val="008A1224"/>
    <w:rsid w:val="008A6D75"/>
    <w:rsid w:val="00B264F4"/>
    <w:rsid w:val="00BA27D0"/>
    <w:rsid w:val="00C2131D"/>
    <w:rsid w:val="00E17AB5"/>
    <w:rsid w:val="00FE7B3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ecimalSymbol w:val="."/>
  <w:listSeparator w:val=","/>
  <w14:docId w14:val="6137A7C1"/>
  <w15:chartTrackingRefBased/>
  <w15:docId w15:val="{59E5A8C8-6763-CB49-A518-46831A550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N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16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616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616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616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616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616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16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16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16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16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16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616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16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16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16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16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16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16B6"/>
    <w:rPr>
      <w:rFonts w:eastAsiaTheme="majorEastAsia" w:cstheme="majorBidi"/>
      <w:color w:val="272727" w:themeColor="text1" w:themeTint="D8"/>
    </w:rPr>
  </w:style>
  <w:style w:type="paragraph" w:styleId="Title">
    <w:name w:val="Title"/>
    <w:basedOn w:val="Normal"/>
    <w:next w:val="Normal"/>
    <w:link w:val="TitleChar"/>
    <w:uiPriority w:val="10"/>
    <w:qFormat/>
    <w:rsid w:val="005616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16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16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16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16B6"/>
    <w:pPr>
      <w:spacing w:before="160"/>
      <w:jc w:val="center"/>
    </w:pPr>
    <w:rPr>
      <w:i/>
      <w:iCs/>
      <w:color w:val="404040" w:themeColor="text1" w:themeTint="BF"/>
    </w:rPr>
  </w:style>
  <w:style w:type="character" w:customStyle="1" w:styleId="QuoteChar">
    <w:name w:val="Quote Char"/>
    <w:basedOn w:val="DefaultParagraphFont"/>
    <w:link w:val="Quote"/>
    <w:uiPriority w:val="29"/>
    <w:rsid w:val="005616B6"/>
    <w:rPr>
      <w:i/>
      <w:iCs/>
      <w:color w:val="404040" w:themeColor="text1" w:themeTint="BF"/>
    </w:rPr>
  </w:style>
  <w:style w:type="paragraph" w:styleId="ListParagraph">
    <w:name w:val="List Paragraph"/>
    <w:basedOn w:val="Normal"/>
    <w:uiPriority w:val="34"/>
    <w:qFormat/>
    <w:rsid w:val="005616B6"/>
    <w:pPr>
      <w:ind w:left="720"/>
      <w:contextualSpacing/>
    </w:pPr>
  </w:style>
  <w:style w:type="character" w:styleId="IntenseEmphasis">
    <w:name w:val="Intense Emphasis"/>
    <w:basedOn w:val="DefaultParagraphFont"/>
    <w:uiPriority w:val="21"/>
    <w:qFormat/>
    <w:rsid w:val="005616B6"/>
    <w:rPr>
      <w:i/>
      <w:iCs/>
      <w:color w:val="0F4761" w:themeColor="accent1" w:themeShade="BF"/>
    </w:rPr>
  </w:style>
  <w:style w:type="paragraph" w:styleId="IntenseQuote">
    <w:name w:val="Intense Quote"/>
    <w:basedOn w:val="Normal"/>
    <w:next w:val="Normal"/>
    <w:link w:val="IntenseQuoteChar"/>
    <w:uiPriority w:val="30"/>
    <w:qFormat/>
    <w:rsid w:val="005616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16B6"/>
    <w:rPr>
      <w:i/>
      <w:iCs/>
      <w:color w:val="0F4761" w:themeColor="accent1" w:themeShade="BF"/>
    </w:rPr>
  </w:style>
  <w:style w:type="character" w:styleId="IntenseReference">
    <w:name w:val="Intense Reference"/>
    <w:basedOn w:val="DefaultParagraphFont"/>
    <w:uiPriority w:val="32"/>
    <w:qFormat/>
    <w:rsid w:val="005616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4461</Words>
  <Characters>25434</Characters>
  <Application>Microsoft Office Word</Application>
  <DocSecurity>0</DocSecurity>
  <Lines>211</Lines>
  <Paragraphs>59</Paragraphs>
  <ScaleCrop>false</ScaleCrop>
  <Company/>
  <LinksUpToDate>false</LinksUpToDate>
  <CharactersWithSpaces>29836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Anthea Leef</dc:creator>
  <cp:keywords/>
  <dc:description/>
  <cp:lastModifiedBy>Anthea Leef</cp:lastModifiedBy>
  <cp:revision>2</cp:revision>
  <dcterms:created xsi:type="dcterms:W3CDTF">2026-06-03T02:42:00Z</dcterms:created>
  <dcterms:modified xsi:type="dcterms:W3CDTF">2026-06-03T02:42:00Z</dcterms:modified>
</cp:coreProperties>
</file>